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B8F" w:rsidRPr="009E1A49" w:rsidRDefault="00735B8F" w:rsidP="00735B8F">
      <w:pPr>
        <w:tabs>
          <w:tab w:val="left" w:pos="1440"/>
        </w:tabs>
        <w:spacing w:line="360" w:lineRule="auto"/>
        <w:jc w:val="center"/>
        <w:rPr>
          <w:b/>
          <w:bCs/>
          <w:sz w:val="28"/>
          <w:szCs w:val="28"/>
        </w:rPr>
      </w:pPr>
      <w:r w:rsidRPr="009E1A49">
        <w:rPr>
          <w:b/>
          <w:bCs/>
          <w:sz w:val="28"/>
          <w:szCs w:val="28"/>
          <w:u w:val="single"/>
        </w:rPr>
        <w:t>ΕΚΘΕΣΗ ΔΙΑΧΕΙΡΙΣΗΣ</w:t>
      </w:r>
      <w:r w:rsidRPr="009E1A49">
        <w:rPr>
          <w:b/>
          <w:bCs/>
          <w:sz w:val="28"/>
          <w:szCs w:val="28"/>
        </w:rPr>
        <w:t xml:space="preserve"> </w:t>
      </w:r>
    </w:p>
    <w:p w:rsidR="00735B8F" w:rsidRPr="00A025FD" w:rsidRDefault="00735B8F" w:rsidP="00735B8F">
      <w:pPr>
        <w:tabs>
          <w:tab w:val="left" w:pos="1440"/>
        </w:tabs>
        <w:spacing w:line="360" w:lineRule="auto"/>
        <w:jc w:val="center"/>
        <w:rPr>
          <w:b/>
          <w:bCs/>
        </w:rPr>
      </w:pPr>
      <w:r w:rsidRPr="00A025FD">
        <w:rPr>
          <w:b/>
          <w:bCs/>
        </w:rPr>
        <w:t xml:space="preserve">ΤΟΥ ΔΙΟΙΚΗΤΙΚΟΥ ΣΥΜΒΟΥΛΙΟΥ </w:t>
      </w:r>
    </w:p>
    <w:p w:rsidR="00735B8F" w:rsidRPr="00A025FD" w:rsidRDefault="00735B8F" w:rsidP="00735B8F">
      <w:pPr>
        <w:tabs>
          <w:tab w:val="left" w:pos="1440"/>
        </w:tabs>
        <w:spacing w:line="360" w:lineRule="auto"/>
        <w:jc w:val="center"/>
        <w:rPr>
          <w:b/>
          <w:bCs/>
        </w:rPr>
      </w:pPr>
      <w:r w:rsidRPr="00A025FD">
        <w:rPr>
          <w:b/>
          <w:bCs/>
        </w:rPr>
        <w:t xml:space="preserve">ΠΡΟΣ ΤΗΝ ΤΑΚΤΙΚΗ ΓΕΝΙΚΗ ΣΥΝΕΛΕΥΣΗ ΤΩΝ ΜΕΤΟΧΩΝ </w:t>
      </w:r>
    </w:p>
    <w:p w:rsidR="00735B8F" w:rsidRPr="004E73CE" w:rsidRDefault="00735B8F" w:rsidP="00735B8F">
      <w:pPr>
        <w:tabs>
          <w:tab w:val="left" w:pos="1440"/>
        </w:tabs>
        <w:spacing w:line="360" w:lineRule="auto"/>
        <w:jc w:val="center"/>
        <w:rPr>
          <w:b/>
          <w:bCs/>
        </w:rPr>
      </w:pPr>
      <w:r w:rsidRPr="00A025FD">
        <w:rPr>
          <w:b/>
          <w:bCs/>
        </w:rPr>
        <w:t xml:space="preserve"> ΕΠΙ ΤΟΥ ΙΣΟΛΟΓΙΣΜΟΥ ΚΑΙ ΤΩΝ ΑΠΟΤΕΛΕΣΜΑΤΩΝ ΧΡΗΣΗΣ </w:t>
      </w:r>
      <w:r w:rsidR="00CA1D8D" w:rsidRPr="00CA1D8D">
        <w:rPr>
          <w:b/>
          <w:bCs/>
        </w:rPr>
        <w:t>201</w:t>
      </w:r>
      <w:r w:rsidR="00F424C2">
        <w:rPr>
          <w:b/>
          <w:bCs/>
        </w:rPr>
        <w:t>8</w:t>
      </w:r>
    </w:p>
    <w:p w:rsidR="00735B8F" w:rsidRPr="004E73CE" w:rsidRDefault="00735B8F" w:rsidP="00735B8F">
      <w:pPr>
        <w:tabs>
          <w:tab w:val="left" w:pos="1440"/>
        </w:tabs>
        <w:spacing w:line="360" w:lineRule="auto"/>
        <w:jc w:val="center"/>
        <w:rPr>
          <w:b/>
          <w:bCs/>
        </w:rPr>
      </w:pPr>
      <w:r w:rsidRPr="00A025FD">
        <w:rPr>
          <w:b/>
          <w:bCs/>
        </w:rPr>
        <w:t>ΠΕΡΙΟΔΟΣ 1/1/</w:t>
      </w:r>
      <w:r w:rsidR="00165B0F" w:rsidRPr="00F10FB4">
        <w:rPr>
          <w:b/>
          <w:bCs/>
        </w:rPr>
        <w:t>20</w:t>
      </w:r>
      <w:r w:rsidR="00E51CFA" w:rsidRPr="00F10FB4">
        <w:rPr>
          <w:b/>
          <w:bCs/>
        </w:rPr>
        <w:t>1</w:t>
      </w:r>
      <w:r w:rsidR="00F424C2">
        <w:rPr>
          <w:b/>
          <w:bCs/>
        </w:rPr>
        <w:t>8</w:t>
      </w:r>
      <w:r w:rsidR="00CA1D8D" w:rsidRPr="004E73CE">
        <w:rPr>
          <w:b/>
          <w:bCs/>
        </w:rPr>
        <w:t xml:space="preserve"> </w:t>
      </w:r>
      <w:r w:rsidRPr="00A025FD">
        <w:rPr>
          <w:b/>
          <w:bCs/>
        </w:rPr>
        <w:t>- 31/12/</w:t>
      </w:r>
      <w:r w:rsidR="007E484A" w:rsidRPr="00F10FB4">
        <w:rPr>
          <w:b/>
          <w:bCs/>
        </w:rPr>
        <w:t>201</w:t>
      </w:r>
      <w:r w:rsidR="00F424C2">
        <w:rPr>
          <w:b/>
          <w:bCs/>
        </w:rPr>
        <w:t>8</w:t>
      </w:r>
    </w:p>
    <w:p w:rsidR="001A6916" w:rsidRDefault="001A6916" w:rsidP="00735B8F">
      <w:pPr>
        <w:tabs>
          <w:tab w:val="left" w:pos="720"/>
        </w:tabs>
        <w:spacing w:line="360" w:lineRule="auto"/>
        <w:jc w:val="both"/>
      </w:pPr>
    </w:p>
    <w:p w:rsidR="001A6916" w:rsidRPr="001A6916" w:rsidRDefault="001A6916" w:rsidP="004E73CE">
      <w:pPr>
        <w:tabs>
          <w:tab w:val="left" w:pos="1440"/>
        </w:tabs>
        <w:spacing w:line="360" w:lineRule="auto"/>
        <w:jc w:val="both"/>
      </w:pPr>
      <w:r w:rsidRPr="001A6916">
        <w:t xml:space="preserve">Κύριοι Μέτοχοι, </w:t>
      </w:r>
    </w:p>
    <w:p w:rsidR="001A6916" w:rsidRPr="001A6916" w:rsidRDefault="001A6916" w:rsidP="004E73CE">
      <w:pPr>
        <w:tabs>
          <w:tab w:val="left" w:pos="1440"/>
        </w:tabs>
        <w:spacing w:line="360" w:lineRule="auto"/>
        <w:jc w:val="both"/>
      </w:pPr>
      <w:r w:rsidRPr="001A6916">
        <w:t>υποβάλλουμε συνημμένα στη γενική συνέλευσή σας τις οικονομικές καταστάσεις της εταιρείας για τη χρήση 01/01/201</w:t>
      </w:r>
      <w:r w:rsidR="00F424C2">
        <w:t xml:space="preserve">8 </w:t>
      </w:r>
      <w:r w:rsidRPr="001A6916">
        <w:t>- 31/12/201</w:t>
      </w:r>
      <w:r w:rsidR="00F424C2">
        <w:t>8</w:t>
      </w:r>
      <w:r w:rsidRPr="001A6916">
        <w:t xml:space="preserve"> καθώς επίσης και την έκθεση πεπραγμένων της χρήσης και παρακαλούμε όπως τις εγκρίνετε.</w:t>
      </w:r>
    </w:p>
    <w:p w:rsidR="001A6916" w:rsidRPr="001A6916" w:rsidRDefault="001A6916" w:rsidP="001A6916">
      <w:pPr>
        <w:suppressAutoHyphens/>
        <w:spacing w:line="360" w:lineRule="auto"/>
        <w:jc w:val="both"/>
        <w:rPr>
          <w:rFonts w:ascii="Arial" w:eastAsia="SimSun" w:hAnsi="Arial" w:cs="Mangal"/>
          <w:kern w:val="1"/>
          <w:sz w:val="20"/>
          <w:szCs w:val="20"/>
          <w:highlight w:val="yellow"/>
          <w:lang w:eastAsia="hi-IN" w:bidi="hi-IN"/>
        </w:rPr>
      </w:pPr>
    </w:p>
    <w:p w:rsidR="001A6916" w:rsidRPr="001A6916" w:rsidRDefault="001A6916" w:rsidP="001A6916">
      <w:pPr>
        <w:numPr>
          <w:ilvl w:val="0"/>
          <w:numId w:val="2"/>
        </w:numPr>
        <w:suppressAutoHyphens/>
        <w:spacing w:line="360" w:lineRule="auto"/>
        <w:jc w:val="both"/>
        <w:rPr>
          <w:rFonts w:ascii="Arial" w:eastAsia="SimSun" w:hAnsi="Arial" w:cs="Mangal"/>
          <w:i/>
          <w:kern w:val="1"/>
          <w:szCs w:val="20"/>
          <w:u w:val="single"/>
          <w:lang w:eastAsia="hi-IN" w:bidi="hi-IN"/>
        </w:rPr>
      </w:pPr>
      <w:r w:rsidRPr="001A6916">
        <w:rPr>
          <w:rFonts w:ascii="Arial" w:eastAsia="SimSun" w:hAnsi="Arial" w:cs="Mangal"/>
          <w:i/>
          <w:kern w:val="1"/>
          <w:szCs w:val="20"/>
          <w:u w:val="single"/>
          <w:lang w:eastAsia="hi-IN" w:bidi="hi-IN"/>
        </w:rPr>
        <w:t>Οικονομική Κατάσταση της εταιρείας</w:t>
      </w:r>
    </w:p>
    <w:p w:rsidR="001A6916" w:rsidRDefault="001A6916" w:rsidP="001A6916">
      <w:pPr>
        <w:suppressAutoHyphens/>
        <w:spacing w:line="360" w:lineRule="auto"/>
        <w:ind w:firstLine="720"/>
        <w:jc w:val="both"/>
      </w:pPr>
      <w:r w:rsidRPr="00E57476">
        <w:t>Τα κυριότερα σημεία της δραστηριότητας της παρούσας χρήσης είναι τα εξής:</w:t>
      </w:r>
    </w:p>
    <w:p w:rsidR="004E73CE" w:rsidRPr="00E57476" w:rsidRDefault="004E73CE" w:rsidP="001A6916">
      <w:pPr>
        <w:suppressAutoHyphens/>
        <w:spacing w:line="360" w:lineRule="auto"/>
        <w:ind w:firstLine="720"/>
        <w:jc w:val="both"/>
      </w:pPr>
    </w:p>
    <w:p w:rsidR="001A6916" w:rsidRPr="00E57476" w:rsidRDefault="001A6916" w:rsidP="001A6916">
      <w:pPr>
        <w:tabs>
          <w:tab w:val="left" w:pos="180"/>
          <w:tab w:val="left" w:pos="717"/>
        </w:tabs>
        <w:suppressAutoHyphens/>
        <w:spacing w:line="360" w:lineRule="auto"/>
        <w:jc w:val="both"/>
        <w:rPr>
          <w:rFonts w:eastAsia="SimSun"/>
          <w:kern w:val="1"/>
          <w:lang w:eastAsia="hi-IN" w:bidi="hi-IN"/>
        </w:rPr>
      </w:pPr>
      <w:r w:rsidRPr="004E73CE">
        <w:rPr>
          <w:rFonts w:eastAsia="SimSun"/>
          <w:kern w:val="1"/>
          <w:lang w:eastAsia="hi-IN" w:bidi="hi-IN"/>
        </w:rPr>
        <w:t>1.1</w:t>
      </w:r>
      <w:r w:rsidRPr="001A6916">
        <w:rPr>
          <w:rFonts w:eastAsia="SimSun"/>
          <w:kern w:val="1"/>
          <w:sz w:val="20"/>
          <w:szCs w:val="20"/>
          <w:lang w:eastAsia="hi-IN" w:bidi="hi-IN"/>
        </w:rPr>
        <w:t xml:space="preserve"> </w:t>
      </w:r>
      <w:r w:rsidRPr="00E57476">
        <w:rPr>
          <w:rFonts w:eastAsia="SimSun"/>
          <w:b/>
          <w:kern w:val="1"/>
          <w:lang w:eastAsia="hi-IN" w:bidi="hi-IN"/>
        </w:rPr>
        <w:t>Ο κύκλος εργασιών</w:t>
      </w:r>
      <w:r w:rsidRPr="00E57476">
        <w:rPr>
          <w:rFonts w:eastAsia="SimSun"/>
          <w:kern w:val="1"/>
          <w:lang w:eastAsia="hi-IN" w:bidi="hi-IN"/>
        </w:rPr>
        <w:t xml:space="preserve"> έφθασε το ποσό των </w:t>
      </w:r>
      <w:r w:rsidR="0070058E" w:rsidRPr="0070058E">
        <w:rPr>
          <w:bCs/>
        </w:rPr>
        <w:t>1.112.406,13</w:t>
      </w:r>
      <w:r w:rsidR="004E73CE" w:rsidRPr="004E73CE">
        <w:rPr>
          <w:bCs/>
        </w:rPr>
        <w:t xml:space="preserve"> </w:t>
      </w:r>
      <w:r w:rsidRPr="00E57476">
        <w:rPr>
          <w:rFonts w:eastAsia="SimSun"/>
          <w:kern w:val="1"/>
          <w:lang w:eastAsia="hi-IN" w:bidi="hi-IN"/>
        </w:rPr>
        <w:t xml:space="preserve">έναντι </w:t>
      </w:r>
      <w:r w:rsidR="0070058E" w:rsidRPr="004E73CE">
        <w:rPr>
          <w:bCs/>
        </w:rPr>
        <w:t xml:space="preserve">1.237.610,60 </w:t>
      </w:r>
      <w:r w:rsidR="0070058E" w:rsidRPr="0070058E">
        <w:rPr>
          <w:bCs/>
        </w:rPr>
        <w:t xml:space="preserve"> </w:t>
      </w:r>
      <w:r w:rsidRPr="00E57476">
        <w:rPr>
          <w:rFonts w:eastAsia="SimSun"/>
          <w:kern w:val="1"/>
          <w:lang w:eastAsia="hi-IN" w:bidi="hi-IN"/>
        </w:rPr>
        <w:t xml:space="preserve">ευρώ της προηγούμενης χρήσης. </w:t>
      </w:r>
    </w:p>
    <w:p w:rsidR="001A6916" w:rsidRPr="00E57476" w:rsidRDefault="001A6916" w:rsidP="001A6916">
      <w:pPr>
        <w:tabs>
          <w:tab w:val="left" w:pos="180"/>
          <w:tab w:val="left" w:pos="717"/>
        </w:tabs>
        <w:suppressAutoHyphens/>
        <w:spacing w:line="360" w:lineRule="auto"/>
        <w:jc w:val="both"/>
        <w:rPr>
          <w:rFonts w:ascii="Arial" w:eastAsia="SimSun" w:hAnsi="Arial" w:cs="Mangal"/>
          <w:kern w:val="1"/>
          <w:lang w:eastAsia="hi-IN" w:bidi="hi-IN"/>
        </w:rPr>
      </w:pPr>
    </w:p>
    <w:p w:rsidR="001A6916" w:rsidRPr="00E57476" w:rsidRDefault="001A6916" w:rsidP="001A6916">
      <w:pPr>
        <w:tabs>
          <w:tab w:val="left" w:pos="360"/>
        </w:tabs>
        <w:suppressAutoHyphens/>
        <w:spacing w:line="360" w:lineRule="auto"/>
        <w:ind w:left="360" w:hanging="360"/>
        <w:jc w:val="both"/>
        <w:rPr>
          <w:rFonts w:eastAsia="SimSun"/>
          <w:kern w:val="1"/>
          <w:lang w:eastAsia="hi-IN" w:bidi="hi-IN"/>
        </w:rPr>
      </w:pPr>
      <w:r w:rsidRPr="00E57476">
        <w:rPr>
          <w:rFonts w:eastAsia="SimSun"/>
          <w:kern w:val="1"/>
          <w:lang w:eastAsia="hi-IN" w:bidi="hi-IN"/>
        </w:rPr>
        <w:t xml:space="preserve">1.2 Το </w:t>
      </w:r>
      <w:r w:rsidRPr="00E57476">
        <w:rPr>
          <w:rFonts w:eastAsia="SimSun"/>
          <w:b/>
          <w:kern w:val="1"/>
          <w:lang w:eastAsia="hi-IN" w:bidi="hi-IN"/>
        </w:rPr>
        <w:t>σύνολο της</w:t>
      </w:r>
      <w:r w:rsidRPr="00E57476">
        <w:rPr>
          <w:rFonts w:eastAsia="SimSun"/>
          <w:kern w:val="1"/>
          <w:lang w:eastAsia="hi-IN" w:bidi="hi-IN"/>
        </w:rPr>
        <w:t xml:space="preserve"> </w:t>
      </w:r>
      <w:r w:rsidRPr="00E57476">
        <w:rPr>
          <w:rFonts w:eastAsia="SimSun"/>
          <w:b/>
          <w:kern w:val="1"/>
          <w:lang w:eastAsia="hi-IN" w:bidi="hi-IN"/>
        </w:rPr>
        <w:t>αξίας των παγίων στοιχείων</w:t>
      </w:r>
      <w:r w:rsidRPr="00E57476">
        <w:rPr>
          <w:rFonts w:eastAsia="SimSun"/>
          <w:kern w:val="1"/>
          <w:lang w:eastAsia="hi-IN" w:bidi="hi-IN"/>
        </w:rPr>
        <w:t xml:space="preserve"> μετά την αφαίρεση των αποσβέσεων έφθασε στο ποσό των </w:t>
      </w:r>
      <w:r w:rsidR="0070058E" w:rsidRPr="0070058E">
        <w:rPr>
          <w:rFonts w:eastAsia="SimSun"/>
          <w:kern w:val="1"/>
          <w:lang w:eastAsia="hi-IN" w:bidi="hi-IN"/>
        </w:rPr>
        <w:t>306.545,46</w:t>
      </w:r>
      <w:r w:rsidR="004E73CE">
        <w:rPr>
          <w:rFonts w:eastAsia="SimSun"/>
          <w:kern w:val="1"/>
          <w:lang w:eastAsia="hi-IN" w:bidi="hi-IN"/>
        </w:rPr>
        <w:t xml:space="preserve"> ευρώ</w:t>
      </w:r>
      <w:r w:rsidRPr="00E57476">
        <w:rPr>
          <w:rFonts w:eastAsia="SimSun"/>
          <w:kern w:val="1"/>
          <w:lang w:eastAsia="hi-IN" w:bidi="hi-IN"/>
        </w:rPr>
        <w:t xml:space="preserve"> έναντι </w:t>
      </w:r>
      <w:r w:rsidR="0070058E" w:rsidRPr="004E73CE">
        <w:rPr>
          <w:rFonts w:eastAsia="SimSun"/>
          <w:kern w:val="1"/>
          <w:lang w:eastAsia="hi-IN" w:bidi="hi-IN"/>
        </w:rPr>
        <w:t>33</w:t>
      </w:r>
      <w:r w:rsidR="0070058E" w:rsidRPr="0070058E">
        <w:rPr>
          <w:rFonts w:eastAsia="SimSun"/>
          <w:kern w:val="1"/>
          <w:lang w:eastAsia="hi-IN" w:bidi="hi-IN"/>
        </w:rPr>
        <w:t>2</w:t>
      </w:r>
      <w:r w:rsidR="0070058E">
        <w:rPr>
          <w:rFonts w:eastAsia="SimSun"/>
          <w:kern w:val="1"/>
          <w:lang w:eastAsia="hi-IN" w:bidi="hi-IN"/>
        </w:rPr>
        <w:t>.</w:t>
      </w:r>
      <w:r w:rsidR="0070058E" w:rsidRPr="0070058E">
        <w:rPr>
          <w:rFonts w:eastAsia="SimSun"/>
          <w:kern w:val="1"/>
          <w:lang w:eastAsia="hi-IN" w:bidi="hi-IN"/>
        </w:rPr>
        <w:t>0</w:t>
      </w:r>
      <w:r w:rsidR="0070058E">
        <w:rPr>
          <w:rFonts w:eastAsia="SimSun"/>
          <w:kern w:val="1"/>
          <w:lang w:eastAsia="hi-IN" w:bidi="hi-IN"/>
        </w:rPr>
        <w:t>41,84</w:t>
      </w:r>
      <w:r w:rsidR="0070058E" w:rsidRPr="0070058E">
        <w:rPr>
          <w:rFonts w:eastAsia="SimSun"/>
          <w:kern w:val="1"/>
          <w:lang w:eastAsia="hi-IN" w:bidi="hi-IN"/>
        </w:rPr>
        <w:t xml:space="preserve"> </w:t>
      </w:r>
      <w:r w:rsidRPr="00E57476">
        <w:rPr>
          <w:rFonts w:eastAsia="SimSun"/>
          <w:kern w:val="1"/>
          <w:lang w:eastAsia="hi-IN" w:bidi="hi-IN"/>
        </w:rPr>
        <w:t xml:space="preserve">ευρώ της προηγούμενης χρήσης. </w:t>
      </w:r>
    </w:p>
    <w:p w:rsidR="001A6916" w:rsidRPr="00E57476" w:rsidRDefault="001A6916" w:rsidP="001A6916">
      <w:pPr>
        <w:tabs>
          <w:tab w:val="left" w:pos="360"/>
        </w:tabs>
        <w:suppressAutoHyphens/>
        <w:spacing w:line="360" w:lineRule="auto"/>
        <w:ind w:left="360" w:hanging="360"/>
        <w:jc w:val="both"/>
        <w:rPr>
          <w:rFonts w:eastAsia="SimSun"/>
          <w:kern w:val="1"/>
          <w:lang w:eastAsia="hi-IN" w:bidi="hi-IN"/>
        </w:rPr>
      </w:pPr>
    </w:p>
    <w:p w:rsidR="001A6916" w:rsidRPr="00E57476" w:rsidRDefault="001A6916" w:rsidP="001A6916">
      <w:pPr>
        <w:tabs>
          <w:tab w:val="left" w:pos="360"/>
        </w:tabs>
        <w:suppressAutoHyphens/>
        <w:spacing w:line="360" w:lineRule="auto"/>
        <w:jc w:val="both"/>
        <w:rPr>
          <w:rFonts w:eastAsia="SimSun"/>
          <w:kern w:val="1"/>
          <w:lang w:eastAsia="hi-IN" w:bidi="hi-IN"/>
        </w:rPr>
      </w:pPr>
      <w:r w:rsidRPr="00E57476">
        <w:rPr>
          <w:rFonts w:eastAsia="SimSun"/>
          <w:kern w:val="1"/>
          <w:lang w:eastAsia="hi-IN" w:bidi="hi-IN"/>
        </w:rPr>
        <w:t xml:space="preserve">1.3 Το </w:t>
      </w:r>
      <w:r w:rsidRPr="00E57476">
        <w:rPr>
          <w:rFonts w:eastAsia="SimSun"/>
          <w:b/>
          <w:kern w:val="1"/>
          <w:lang w:eastAsia="hi-IN" w:bidi="hi-IN"/>
        </w:rPr>
        <w:t>καταβλημένο μετοχικό κεφάλαιο</w:t>
      </w:r>
      <w:r w:rsidRPr="00E57476">
        <w:rPr>
          <w:rFonts w:eastAsia="SimSun"/>
          <w:kern w:val="1"/>
          <w:lang w:eastAsia="hi-IN" w:bidi="hi-IN"/>
        </w:rPr>
        <w:t xml:space="preserve"> ανέρχεται στο ποσό των 78.000,00 ευρώ.</w:t>
      </w:r>
    </w:p>
    <w:p w:rsidR="001A6916" w:rsidRPr="00E57476" w:rsidRDefault="001A6916" w:rsidP="001A6916">
      <w:pPr>
        <w:tabs>
          <w:tab w:val="left" w:pos="360"/>
        </w:tabs>
        <w:suppressAutoHyphens/>
        <w:spacing w:line="360" w:lineRule="auto"/>
        <w:jc w:val="both"/>
        <w:rPr>
          <w:rFonts w:eastAsia="SimSun"/>
          <w:kern w:val="1"/>
          <w:lang w:eastAsia="hi-IN" w:bidi="hi-IN"/>
        </w:rPr>
      </w:pPr>
      <w:r w:rsidRPr="00E57476">
        <w:rPr>
          <w:rFonts w:eastAsia="SimSun"/>
          <w:kern w:val="1"/>
          <w:lang w:eastAsia="hi-IN" w:bidi="hi-IN"/>
        </w:rPr>
        <w:t xml:space="preserve"> </w:t>
      </w:r>
    </w:p>
    <w:p w:rsidR="001A6916" w:rsidRPr="00E57476" w:rsidRDefault="001A6916" w:rsidP="001A6916">
      <w:pPr>
        <w:pStyle w:val="a6"/>
        <w:tabs>
          <w:tab w:val="left" w:pos="717"/>
        </w:tabs>
        <w:suppressAutoHyphens/>
        <w:spacing w:after="0" w:line="360" w:lineRule="auto"/>
        <w:ind w:left="360"/>
        <w:jc w:val="both"/>
        <w:rPr>
          <w:rFonts w:ascii="Times New Roman" w:eastAsia="SimSun" w:hAnsi="Times New Roman"/>
          <w:kern w:val="1"/>
          <w:sz w:val="24"/>
          <w:szCs w:val="24"/>
          <w:lang w:val="el-GR" w:eastAsia="hi-IN" w:bidi="hi-IN"/>
        </w:rPr>
      </w:pPr>
    </w:p>
    <w:p w:rsidR="001A6916" w:rsidRPr="00E57476" w:rsidRDefault="001A6916" w:rsidP="004E73CE">
      <w:pPr>
        <w:numPr>
          <w:ilvl w:val="1"/>
          <w:numId w:val="3"/>
        </w:numPr>
        <w:tabs>
          <w:tab w:val="left" w:pos="717"/>
        </w:tabs>
        <w:suppressAutoHyphens/>
        <w:spacing w:line="360" w:lineRule="auto"/>
        <w:jc w:val="both"/>
        <w:rPr>
          <w:rFonts w:eastAsia="SimSun"/>
          <w:kern w:val="1"/>
          <w:lang w:eastAsia="hi-IN" w:bidi="hi-IN"/>
        </w:rPr>
      </w:pPr>
      <w:r w:rsidRPr="00E57476">
        <w:rPr>
          <w:rFonts w:eastAsia="SimSun"/>
          <w:kern w:val="1"/>
          <w:lang w:eastAsia="hi-IN" w:bidi="hi-IN"/>
        </w:rPr>
        <w:t xml:space="preserve">Το </w:t>
      </w:r>
      <w:r w:rsidRPr="00E57476">
        <w:rPr>
          <w:rFonts w:eastAsia="SimSun"/>
          <w:b/>
          <w:kern w:val="1"/>
          <w:lang w:eastAsia="hi-IN" w:bidi="hi-IN"/>
        </w:rPr>
        <w:t>σύνολο του κυκλοφορούντος ενεργητικού</w:t>
      </w:r>
      <w:r w:rsidRPr="00E57476">
        <w:rPr>
          <w:rFonts w:eastAsia="SimSun"/>
          <w:kern w:val="1"/>
          <w:lang w:eastAsia="hi-IN" w:bidi="hi-IN"/>
        </w:rPr>
        <w:t xml:space="preserve"> έφθασε το ποσό των </w:t>
      </w:r>
      <w:r w:rsidR="00C642E4">
        <w:rPr>
          <w:color w:val="000000"/>
        </w:rPr>
        <w:t>325.</w:t>
      </w:r>
      <w:r w:rsidR="00C642E4" w:rsidRPr="00C642E4">
        <w:rPr>
          <w:color w:val="000000"/>
        </w:rPr>
        <w:t>553,93</w:t>
      </w:r>
      <w:r w:rsidR="004E73CE">
        <w:rPr>
          <w:color w:val="000000"/>
        </w:rPr>
        <w:t xml:space="preserve"> </w:t>
      </w:r>
      <w:r w:rsidRPr="00E57476">
        <w:rPr>
          <w:rFonts w:eastAsia="SimSun"/>
          <w:kern w:val="1"/>
          <w:lang w:eastAsia="hi-IN" w:bidi="hi-IN"/>
        </w:rPr>
        <w:t>ευρώ.</w:t>
      </w:r>
    </w:p>
    <w:p w:rsidR="00735B8F" w:rsidRPr="00A025FD" w:rsidRDefault="00735B8F" w:rsidP="00735B8F">
      <w:pPr>
        <w:tabs>
          <w:tab w:val="left" w:pos="1440"/>
        </w:tabs>
        <w:spacing w:line="360" w:lineRule="auto"/>
        <w:rPr>
          <w:b/>
          <w:bCs/>
        </w:rPr>
      </w:pPr>
    </w:p>
    <w:p w:rsidR="00735B8F" w:rsidRDefault="00735B8F" w:rsidP="007E484A">
      <w:pPr>
        <w:spacing w:line="360" w:lineRule="auto"/>
        <w:ind w:firstLine="720"/>
        <w:jc w:val="both"/>
      </w:pPr>
      <w:r w:rsidRPr="00A025FD">
        <w:t xml:space="preserve">Οι βασικοί χρηματοοικονομικοί δείκτες της εταιρείας για τις χρήσεις </w:t>
      </w:r>
      <w:r w:rsidR="00254217">
        <w:t>20</w:t>
      </w:r>
      <w:r w:rsidR="00E51CFA" w:rsidRPr="00E51CFA">
        <w:t>1</w:t>
      </w:r>
      <w:r w:rsidR="00C642E4">
        <w:t>8</w:t>
      </w:r>
      <w:r w:rsidRPr="00A025FD">
        <w:t xml:space="preserve"> και </w:t>
      </w:r>
      <w:r w:rsidR="007E484A" w:rsidRPr="007E484A">
        <w:t>201</w:t>
      </w:r>
      <w:r w:rsidR="00C642E4">
        <w:t>7</w:t>
      </w:r>
      <w:r w:rsidR="007E484A" w:rsidRPr="007E484A">
        <w:t xml:space="preserve">, </w:t>
      </w:r>
      <w:r w:rsidR="007E484A">
        <w:t>έχουν ως εξής:</w:t>
      </w:r>
    </w:p>
    <w:p w:rsidR="00525943" w:rsidRDefault="00525943" w:rsidP="007E484A">
      <w:pPr>
        <w:spacing w:line="360" w:lineRule="auto"/>
        <w:ind w:firstLine="720"/>
        <w:jc w:val="both"/>
      </w:pPr>
    </w:p>
    <w:p w:rsidR="00525943" w:rsidRDefault="00525943" w:rsidP="007E484A">
      <w:pPr>
        <w:spacing w:line="360" w:lineRule="auto"/>
        <w:ind w:firstLine="720"/>
        <w:jc w:val="both"/>
      </w:pPr>
    </w:p>
    <w:p w:rsidR="003A15BC" w:rsidRDefault="003A15BC" w:rsidP="007E484A">
      <w:pPr>
        <w:spacing w:line="360" w:lineRule="auto"/>
        <w:ind w:firstLine="720"/>
        <w:jc w:val="both"/>
      </w:pPr>
    </w:p>
    <w:p w:rsidR="00525943" w:rsidRPr="004E226F" w:rsidRDefault="00525943" w:rsidP="007E484A">
      <w:pPr>
        <w:spacing w:line="360" w:lineRule="auto"/>
        <w:ind w:firstLine="720"/>
        <w:jc w:val="both"/>
      </w:pPr>
    </w:p>
    <w:p w:rsidR="00811207" w:rsidRDefault="00811207" w:rsidP="007E484A">
      <w:pPr>
        <w:spacing w:line="360" w:lineRule="auto"/>
        <w:ind w:firstLine="720"/>
        <w:jc w:val="both"/>
      </w:pPr>
    </w:p>
    <w:tbl>
      <w:tblPr>
        <w:tblW w:w="9280" w:type="dxa"/>
        <w:tblInd w:w="108" w:type="dxa"/>
        <w:tblLook w:val="04A0" w:firstRow="1" w:lastRow="0" w:firstColumn="1" w:lastColumn="0" w:noHBand="0" w:noVBand="1"/>
      </w:tblPr>
      <w:tblGrid>
        <w:gridCol w:w="3790"/>
        <w:gridCol w:w="1642"/>
        <w:gridCol w:w="1097"/>
        <w:gridCol w:w="1654"/>
        <w:gridCol w:w="1097"/>
      </w:tblGrid>
      <w:tr w:rsidR="00C642E4" w:rsidTr="00C642E4">
        <w:trPr>
          <w:trHeight w:val="315"/>
        </w:trPr>
        <w:tc>
          <w:tcPr>
            <w:tcW w:w="9280" w:type="dxa"/>
            <w:gridSpan w:val="5"/>
            <w:tcBorders>
              <w:top w:val="nil"/>
              <w:left w:val="nil"/>
              <w:bottom w:val="nil"/>
              <w:right w:val="nil"/>
            </w:tcBorders>
            <w:shd w:val="clear" w:color="auto" w:fill="auto"/>
            <w:noWrap/>
            <w:vAlign w:val="bottom"/>
            <w:hideMark/>
          </w:tcPr>
          <w:p w:rsidR="00C642E4" w:rsidRDefault="00C642E4">
            <w:pPr>
              <w:jc w:val="center"/>
              <w:rPr>
                <w:rFonts w:ascii="Arial" w:hAnsi="Arial" w:cs="Arial"/>
                <w:b/>
                <w:bCs/>
                <w:color w:val="000000"/>
              </w:rPr>
            </w:pPr>
            <w:r>
              <w:rPr>
                <w:rFonts w:ascii="Arial" w:hAnsi="Arial" w:cs="Arial"/>
                <w:b/>
                <w:bCs/>
                <w:color w:val="000000"/>
              </w:rPr>
              <w:lastRenderedPageBreak/>
              <w:t>Αριθμοδείκτες οικονομικής διάρθρωσης</w:t>
            </w:r>
          </w:p>
        </w:tc>
      </w:tr>
      <w:tr w:rsidR="00C642E4" w:rsidTr="00C642E4">
        <w:trPr>
          <w:trHeight w:val="315"/>
        </w:trPr>
        <w:tc>
          <w:tcPr>
            <w:tcW w:w="3790" w:type="dxa"/>
            <w:tcBorders>
              <w:top w:val="nil"/>
              <w:left w:val="nil"/>
              <w:bottom w:val="nil"/>
              <w:right w:val="nil"/>
            </w:tcBorders>
            <w:shd w:val="clear" w:color="auto" w:fill="auto"/>
            <w:noWrap/>
            <w:vAlign w:val="bottom"/>
            <w:hideMark/>
          </w:tcPr>
          <w:p w:rsidR="00C642E4" w:rsidRDefault="00C642E4">
            <w:pPr>
              <w:jc w:val="center"/>
              <w:rPr>
                <w:rFonts w:ascii="Arial" w:hAnsi="Arial" w:cs="Arial"/>
                <w:b/>
                <w:bCs/>
                <w:color w:val="000000"/>
              </w:rPr>
            </w:pPr>
          </w:p>
        </w:tc>
        <w:tc>
          <w:tcPr>
            <w:tcW w:w="1642" w:type="dxa"/>
            <w:tcBorders>
              <w:top w:val="nil"/>
              <w:left w:val="nil"/>
              <w:bottom w:val="nil"/>
              <w:right w:val="nil"/>
            </w:tcBorders>
            <w:shd w:val="clear" w:color="auto" w:fill="auto"/>
            <w:noWrap/>
            <w:vAlign w:val="bottom"/>
            <w:hideMark/>
          </w:tcPr>
          <w:p w:rsidR="00C642E4" w:rsidRDefault="00C642E4">
            <w:pPr>
              <w:jc w:val="center"/>
              <w:rPr>
                <w:sz w:val="20"/>
                <w:szCs w:val="20"/>
              </w:rPr>
            </w:pPr>
          </w:p>
        </w:tc>
        <w:tc>
          <w:tcPr>
            <w:tcW w:w="1097" w:type="dxa"/>
            <w:tcBorders>
              <w:top w:val="nil"/>
              <w:left w:val="nil"/>
              <w:bottom w:val="nil"/>
              <w:right w:val="nil"/>
            </w:tcBorders>
            <w:shd w:val="clear" w:color="auto" w:fill="auto"/>
            <w:noWrap/>
            <w:vAlign w:val="bottom"/>
            <w:hideMark/>
          </w:tcPr>
          <w:p w:rsidR="00C642E4" w:rsidRDefault="00C642E4">
            <w:pPr>
              <w:jc w:val="center"/>
              <w:rPr>
                <w:sz w:val="20"/>
                <w:szCs w:val="20"/>
              </w:rPr>
            </w:pPr>
          </w:p>
        </w:tc>
        <w:tc>
          <w:tcPr>
            <w:tcW w:w="1654" w:type="dxa"/>
            <w:tcBorders>
              <w:top w:val="nil"/>
              <w:left w:val="nil"/>
              <w:bottom w:val="nil"/>
              <w:right w:val="nil"/>
            </w:tcBorders>
            <w:shd w:val="clear" w:color="auto" w:fill="auto"/>
            <w:noWrap/>
            <w:vAlign w:val="bottom"/>
            <w:hideMark/>
          </w:tcPr>
          <w:p w:rsidR="00C642E4" w:rsidRDefault="00C642E4">
            <w:pPr>
              <w:jc w:val="center"/>
              <w:rPr>
                <w:sz w:val="20"/>
                <w:szCs w:val="20"/>
              </w:rPr>
            </w:pPr>
          </w:p>
        </w:tc>
        <w:tc>
          <w:tcPr>
            <w:tcW w:w="1097" w:type="dxa"/>
            <w:tcBorders>
              <w:top w:val="nil"/>
              <w:left w:val="nil"/>
              <w:bottom w:val="nil"/>
              <w:right w:val="nil"/>
            </w:tcBorders>
            <w:shd w:val="clear" w:color="auto" w:fill="auto"/>
            <w:noWrap/>
            <w:vAlign w:val="bottom"/>
            <w:hideMark/>
          </w:tcPr>
          <w:p w:rsidR="00C642E4" w:rsidRDefault="00C642E4">
            <w:pPr>
              <w:jc w:val="center"/>
              <w:rPr>
                <w:sz w:val="20"/>
                <w:szCs w:val="20"/>
              </w:rPr>
            </w:pPr>
          </w:p>
        </w:tc>
      </w:tr>
      <w:tr w:rsidR="00C642E4" w:rsidTr="00C642E4">
        <w:trPr>
          <w:trHeight w:val="300"/>
        </w:trPr>
        <w:tc>
          <w:tcPr>
            <w:tcW w:w="3790" w:type="dxa"/>
            <w:tcBorders>
              <w:top w:val="nil"/>
              <w:left w:val="nil"/>
              <w:bottom w:val="nil"/>
              <w:right w:val="single" w:sz="8" w:space="0" w:color="auto"/>
            </w:tcBorders>
            <w:shd w:val="clear" w:color="auto" w:fill="auto"/>
            <w:noWrap/>
            <w:vAlign w:val="bottom"/>
            <w:hideMark/>
          </w:tcPr>
          <w:p w:rsidR="00C642E4" w:rsidRDefault="00C642E4">
            <w:pPr>
              <w:rPr>
                <w:rFonts w:ascii="Arial" w:hAnsi="Arial" w:cs="Arial"/>
                <w:color w:val="000000"/>
                <w:sz w:val="20"/>
                <w:szCs w:val="20"/>
              </w:rPr>
            </w:pPr>
            <w:r>
              <w:rPr>
                <w:rFonts w:ascii="Arial" w:hAnsi="Arial" w:cs="Arial"/>
                <w:color w:val="000000"/>
                <w:sz w:val="20"/>
                <w:szCs w:val="20"/>
              </w:rPr>
              <w:t> </w:t>
            </w:r>
          </w:p>
        </w:tc>
        <w:tc>
          <w:tcPr>
            <w:tcW w:w="1642" w:type="dxa"/>
            <w:tcBorders>
              <w:top w:val="nil"/>
              <w:left w:val="nil"/>
              <w:bottom w:val="nil"/>
              <w:right w:val="single" w:sz="8" w:space="0" w:color="auto"/>
            </w:tcBorders>
            <w:shd w:val="clear" w:color="auto" w:fill="auto"/>
            <w:vAlign w:val="bottom"/>
            <w:hideMark/>
          </w:tcPr>
          <w:p w:rsidR="00C642E4" w:rsidRDefault="00C642E4">
            <w:pPr>
              <w:jc w:val="center"/>
              <w:rPr>
                <w:rFonts w:ascii="Arial" w:hAnsi="Arial" w:cs="Arial"/>
                <w:b/>
                <w:bCs/>
                <w:color w:val="000000"/>
                <w:sz w:val="20"/>
                <w:szCs w:val="20"/>
                <w:u w:val="single"/>
              </w:rPr>
            </w:pPr>
            <w:r>
              <w:rPr>
                <w:rFonts w:ascii="Arial" w:hAnsi="Arial" w:cs="Arial"/>
                <w:b/>
                <w:bCs/>
                <w:color w:val="000000"/>
                <w:sz w:val="20"/>
                <w:szCs w:val="20"/>
                <w:u w:val="single"/>
              </w:rPr>
              <w:t>31/12/2018</w:t>
            </w:r>
          </w:p>
        </w:tc>
        <w:tc>
          <w:tcPr>
            <w:tcW w:w="1097" w:type="dxa"/>
            <w:tcBorders>
              <w:top w:val="nil"/>
              <w:left w:val="nil"/>
              <w:bottom w:val="nil"/>
              <w:right w:val="nil"/>
            </w:tcBorders>
            <w:shd w:val="clear" w:color="auto" w:fill="auto"/>
            <w:noWrap/>
            <w:vAlign w:val="bottom"/>
            <w:hideMark/>
          </w:tcPr>
          <w:p w:rsidR="00C642E4" w:rsidRDefault="00C642E4">
            <w:pPr>
              <w:jc w:val="center"/>
              <w:rPr>
                <w:rFonts w:ascii="Arial" w:hAnsi="Arial" w:cs="Arial"/>
                <w:b/>
                <w:bCs/>
                <w:color w:val="000000"/>
                <w:sz w:val="20"/>
                <w:szCs w:val="20"/>
              </w:rPr>
            </w:pPr>
            <w:r>
              <w:rPr>
                <w:rFonts w:ascii="Arial" w:hAnsi="Arial" w:cs="Arial"/>
                <w:b/>
                <w:bCs/>
                <w:color w:val="000000"/>
                <w:sz w:val="20"/>
                <w:szCs w:val="20"/>
              </w:rPr>
              <w:t>%</w:t>
            </w:r>
          </w:p>
        </w:tc>
        <w:tc>
          <w:tcPr>
            <w:tcW w:w="1654" w:type="dxa"/>
            <w:tcBorders>
              <w:top w:val="nil"/>
              <w:left w:val="nil"/>
              <w:bottom w:val="nil"/>
              <w:right w:val="single" w:sz="8" w:space="0" w:color="auto"/>
            </w:tcBorders>
            <w:shd w:val="clear" w:color="auto" w:fill="auto"/>
            <w:vAlign w:val="bottom"/>
            <w:hideMark/>
          </w:tcPr>
          <w:p w:rsidR="00C642E4" w:rsidRDefault="00C642E4">
            <w:pPr>
              <w:jc w:val="center"/>
              <w:rPr>
                <w:rFonts w:ascii="Arial" w:hAnsi="Arial" w:cs="Arial"/>
                <w:b/>
                <w:bCs/>
                <w:color w:val="000000"/>
                <w:sz w:val="20"/>
                <w:szCs w:val="20"/>
                <w:u w:val="single"/>
              </w:rPr>
            </w:pPr>
            <w:r>
              <w:rPr>
                <w:rFonts w:ascii="Arial" w:hAnsi="Arial" w:cs="Arial"/>
                <w:b/>
                <w:bCs/>
                <w:color w:val="000000"/>
                <w:sz w:val="20"/>
                <w:szCs w:val="20"/>
                <w:u w:val="single"/>
              </w:rPr>
              <w:t>31/12/2017</w:t>
            </w:r>
          </w:p>
        </w:tc>
        <w:tc>
          <w:tcPr>
            <w:tcW w:w="1097" w:type="dxa"/>
            <w:tcBorders>
              <w:top w:val="nil"/>
              <w:left w:val="nil"/>
              <w:bottom w:val="nil"/>
              <w:right w:val="nil"/>
            </w:tcBorders>
            <w:shd w:val="clear" w:color="auto" w:fill="auto"/>
            <w:noWrap/>
            <w:vAlign w:val="bottom"/>
            <w:hideMark/>
          </w:tcPr>
          <w:p w:rsidR="00C642E4" w:rsidRDefault="00C642E4">
            <w:pPr>
              <w:jc w:val="center"/>
              <w:rPr>
                <w:rFonts w:ascii="Arial" w:hAnsi="Arial" w:cs="Arial"/>
                <w:b/>
                <w:bCs/>
                <w:color w:val="000000"/>
                <w:sz w:val="20"/>
                <w:szCs w:val="20"/>
              </w:rPr>
            </w:pPr>
            <w:r>
              <w:rPr>
                <w:rFonts w:ascii="Arial" w:hAnsi="Arial" w:cs="Arial"/>
                <w:b/>
                <w:bCs/>
                <w:color w:val="000000"/>
                <w:sz w:val="20"/>
                <w:szCs w:val="20"/>
              </w:rPr>
              <w:t>%</w:t>
            </w:r>
          </w:p>
        </w:tc>
      </w:tr>
      <w:tr w:rsidR="00C642E4" w:rsidTr="00C642E4">
        <w:trPr>
          <w:trHeight w:val="315"/>
        </w:trPr>
        <w:tc>
          <w:tcPr>
            <w:tcW w:w="3790" w:type="dxa"/>
            <w:tcBorders>
              <w:top w:val="nil"/>
              <w:left w:val="nil"/>
              <w:bottom w:val="single" w:sz="8" w:space="0" w:color="auto"/>
              <w:right w:val="single" w:sz="8" w:space="0" w:color="auto"/>
            </w:tcBorders>
            <w:shd w:val="clear" w:color="auto" w:fill="auto"/>
            <w:noWrap/>
            <w:vAlign w:val="bottom"/>
            <w:hideMark/>
          </w:tcPr>
          <w:p w:rsidR="00C642E4" w:rsidRDefault="00C642E4">
            <w:pPr>
              <w:jc w:val="center"/>
              <w:rPr>
                <w:rFonts w:ascii="Arial" w:hAnsi="Arial" w:cs="Arial"/>
                <w:color w:val="000000"/>
                <w:sz w:val="22"/>
                <w:szCs w:val="22"/>
              </w:rPr>
            </w:pPr>
            <w:r>
              <w:rPr>
                <w:rFonts w:ascii="Arial" w:hAnsi="Arial" w:cs="Arial"/>
                <w:color w:val="000000"/>
                <w:sz w:val="22"/>
                <w:szCs w:val="22"/>
              </w:rPr>
              <w:t>Κυκλοφορούν ενεργητικό</w:t>
            </w:r>
          </w:p>
        </w:tc>
        <w:tc>
          <w:tcPr>
            <w:tcW w:w="1642" w:type="dxa"/>
            <w:tcBorders>
              <w:top w:val="nil"/>
              <w:left w:val="nil"/>
              <w:bottom w:val="single" w:sz="8" w:space="0" w:color="auto"/>
              <w:right w:val="single" w:sz="8" w:space="0" w:color="auto"/>
            </w:tcBorders>
            <w:shd w:val="clear" w:color="auto" w:fill="auto"/>
            <w:noWrap/>
            <w:vAlign w:val="bottom"/>
            <w:hideMark/>
          </w:tcPr>
          <w:p w:rsidR="00C642E4" w:rsidRDefault="00C642E4">
            <w:pPr>
              <w:jc w:val="right"/>
              <w:rPr>
                <w:rFonts w:ascii="Arial" w:hAnsi="Arial" w:cs="Arial"/>
                <w:color w:val="000000"/>
                <w:sz w:val="22"/>
                <w:szCs w:val="22"/>
              </w:rPr>
            </w:pPr>
            <w:r>
              <w:rPr>
                <w:rFonts w:ascii="Arial" w:hAnsi="Arial" w:cs="Arial"/>
                <w:color w:val="000000"/>
                <w:sz w:val="22"/>
                <w:szCs w:val="22"/>
              </w:rPr>
              <w:t>325.553,93</w:t>
            </w:r>
          </w:p>
        </w:tc>
        <w:tc>
          <w:tcPr>
            <w:tcW w:w="1097" w:type="dxa"/>
            <w:vMerge w:val="restart"/>
            <w:tcBorders>
              <w:top w:val="nil"/>
              <w:left w:val="single" w:sz="8" w:space="0" w:color="auto"/>
              <w:bottom w:val="nil"/>
              <w:right w:val="single" w:sz="8" w:space="0" w:color="auto"/>
            </w:tcBorders>
            <w:shd w:val="clear" w:color="auto" w:fill="auto"/>
            <w:noWrap/>
            <w:vAlign w:val="center"/>
            <w:hideMark/>
          </w:tcPr>
          <w:p w:rsidR="00C642E4" w:rsidRDefault="00C642E4">
            <w:pPr>
              <w:jc w:val="right"/>
              <w:rPr>
                <w:rFonts w:ascii="Arial" w:hAnsi="Arial" w:cs="Arial"/>
                <w:color w:val="000000"/>
                <w:sz w:val="22"/>
                <w:szCs w:val="22"/>
              </w:rPr>
            </w:pPr>
            <w:r>
              <w:rPr>
                <w:rFonts w:ascii="Arial" w:hAnsi="Arial" w:cs="Arial"/>
                <w:color w:val="000000"/>
                <w:sz w:val="22"/>
                <w:szCs w:val="22"/>
              </w:rPr>
              <w:t>51,50%</w:t>
            </w:r>
          </w:p>
        </w:tc>
        <w:tc>
          <w:tcPr>
            <w:tcW w:w="1654" w:type="dxa"/>
            <w:tcBorders>
              <w:top w:val="nil"/>
              <w:left w:val="nil"/>
              <w:bottom w:val="single" w:sz="8" w:space="0" w:color="auto"/>
              <w:right w:val="single" w:sz="8" w:space="0" w:color="auto"/>
            </w:tcBorders>
            <w:shd w:val="clear" w:color="auto" w:fill="auto"/>
            <w:noWrap/>
            <w:vAlign w:val="bottom"/>
            <w:hideMark/>
          </w:tcPr>
          <w:p w:rsidR="00C642E4" w:rsidRDefault="00C642E4">
            <w:pPr>
              <w:jc w:val="right"/>
              <w:rPr>
                <w:rFonts w:ascii="Arial" w:hAnsi="Arial" w:cs="Arial"/>
                <w:color w:val="000000"/>
                <w:sz w:val="22"/>
                <w:szCs w:val="22"/>
              </w:rPr>
            </w:pPr>
            <w:r>
              <w:rPr>
                <w:rFonts w:ascii="Arial" w:hAnsi="Arial" w:cs="Arial"/>
                <w:color w:val="000000"/>
                <w:sz w:val="22"/>
                <w:szCs w:val="22"/>
              </w:rPr>
              <w:t>296.982,94</w:t>
            </w:r>
          </w:p>
        </w:tc>
        <w:tc>
          <w:tcPr>
            <w:tcW w:w="1097" w:type="dxa"/>
            <w:vMerge w:val="restart"/>
            <w:tcBorders>
              <w:top w:val="nil"/>
              <w:left w:val="single" w:sz="8" w:space="0" w:color="auto"/>
              <w:bottom w:val="nil"/>
              <w:right w:val="single" w:sz="8" w:space="0" w:color="auto"/>
            </w:tcBorders>
            <w:shd w:val="clear" w:color="auto" w:fill="auto"/>
            <w:noWrap/>
            <w:vAlign w:val="center"/>
            <w:hideMark/>
          </w:tcPr>
          <w:p w:rsidR="00C642E4" w:rsidRDefault="00C642E4">
            <w:pPr>
              <w:jc w:val="right"/>
              <w:rPr>
                <w:rFonts w:ascii="Arial" w:hAnsi="Arial" w:cs="Arial"/>
                <w:color w:val="000000"/>
                <w:sz w:val="22"/>
                <w:szCs w:val="22"/>
              </w:rPr>
            </w:pPr>
            <w:r>
              <w:rPr>
                <w:rFonts w:ascii="Arial" w:hAnsi="Arial" w:cs="Arial"/>
                <w:color w:val="000000"/>
                <w:sz w:val="22"/>
                <w:szCs w:val="22"/>
              </w:rPr>
              <w:t>47,21%</w:t>
            </w:r>
          </w:p>
        </w:tc>
      </w:tr>
      <w:tr w:rsidR="00C642E4" w:rsidTr="00C642E4">
        <w:trPr>
          <w:trHeight w:val="300"/>
        </w:trPr>
        <w:tc>
          <w:tcPr>
            <w:tcW w:w="3790" w:type="dxa"/>
            <w:tcBorders>
              <w:top w:val="nil"/>
              <w:left w:val="nil"/>
              <w:bottom w:val="nil"/>
              <w:right w:val="single" w:sz="8" w:space="0" w:color="auto"/>
            </w:tcBorders>
            <w:shd w:val="clear" w:color="auto" w:fill="auto"/>
            <w:noWrap/>
            <w:vAlign w:val="bottom"/>
            <w:hideMark/>
          </w:tcPr>
          <w:p w:rsidR="00C642E4" w:rsidRDefault="00C642E4">
            <w:pPr>
              <w:jc w:val="center"/>
              <w:rPr>
                <w:rFonts w:ascii="Arial" w:hAnsi="Arial" w:cs="Arial"/>
                <w:color w:val="000000"/>
                <w:sz w:val="22"/>
                <w:szCs w:val="22"/>
              </w:rPr>
            </w:pPr>
            <w:r>
              <w:rPr>
                <w:rFonts w:ascii="Arial" w:hAnsi="Arial" w:cs="Arial"/>
                <w:color w:val="000000"/>
                <w:sz w:val="22"/>
                <w:szCs w:val="22"/>
              </w:rPr>
              <w:t>Σύνολο ενεργητικού</w:t>
            </w:r>
          </w:p>
        </w:tc>
        <w:tc>
          <w:tcPr>
            <w:tcW w:w="1642" w:type="dxa"/>
            <w:tcBorders>
              <w:top w:val="nil"/>
              <w:left w:val="nil"/>
              <w:bottom w:val="nil"/>
              <w:right w:val="single" w:sz="8" w:space="0" w:color="auto"/>
            </w:tcBorders>
            <w:shd w:val="clear" w:color="auto" w:fill="auto"/>
            <w:noWrap/>
            <w:vAlign w:val="bottom"/>
            <w:hideMark/>
          </w:tcPr>
          <w:p w:rsidR="00C642E4" w:rsidRDefault="00C642E4">
            <w:pPr>
              <w:jc w:val="right"/>
              <w:rPr>
                <w:rFonts w:ascii="Arial" w:hAnsi="Arial" w:cs="Arial"/>
                <w:color w:val="000000"/>
                <w:sz w:val="22"/>
                <w:szCs w:val="22"/>
              </w:rPr>
            </w:pPr>
            <w:r>
              <w:rPr>
                <w:rFonts w:ascii="Arial" w:hAnsi="Arial" w:cs="Arial"/>
                <w:color w:val="000000"/>
                <w:sz w:val="22"/>
                <w:szCs w:val="22"/>
              </w:rPr>
              <w:t>632.099,39</w:t>
            </w:r>
          </w:p>
        </w:tc>
        <w:tc>
          <w:tcPr>
            <w:tcW w:w="1097" w:type="dxa"/>
            <w:vMerge/>
            <w:tcBorders>
              <w:top w:val="nil"/>
              <w:left w:val="single" w:sz="8" w:space="0" w:color="auto"/>
              <w:bottom w:val="nil"/>
              <w:right w:val="single" w:sz="8" w:space="0" w:color="auto"/>
            </w:tcBorders>
            <w:vAlign w:val="center"/>
            <w:hideMark/>
          </w:tcPr>
          <w:p w:rsidR="00C642E4" w:rsidRDefault="00C642E4">
            <w:pPr>
              <w:rPr>
                <w:rFonts w:ascii="Arial" w:hAnsi="Arial" w:cs="Arial"/>
                <w:color w:val="000000"/>
                <w:sz w:val="22"/>
                <w:szCs w:val="22"/>
              </w:rPr>
            </w:pPr>
          </w:p>
        </w:tc>
        <w:tc>
          <w:tcPr>
            <w:tcW w:w="1654" w:type="dxa"/>
            <w:tcBorders>
              <w:top w:val="nil"/>
              <w:left w:val="nil"/>
              <w:bottom w:val="nil"/>
              <w:right w:val="single" w:sz="8" w:space="0" w:color="auto"/>
            </w:tcBorders>
            <w:shd w:val="clear" w:color="auto" w:fill="auto"/>
            <w:noWrap/>
            <w:vAlign w:val="bottom"/>
            <w:hideMark/>
          </w:tcPr>
          <w:p w:rsidR="00C642E4" w:rsidRDefault="00C642E4">
            <w:pPr>
              <w:jc w:val="right"/>
              <w:rPr>
                <w:rFonts w:ascii="Arial" w:hAnsi="Arial" w:cs="Arial"/>
                <w:color w:val="000000"/>
                <w:sz w:val="22"/>
                <w:szCs w:val="22"/>
              </w:rPr>
            </w:pPr>
            <w:r>
              <w:rPr>
                <w:rFonts w:ascii="Arial" w:hAnsi="Arial" w:cs="Arial"/>
                <w:color w:val="000000"/>
                <w:sz w:val="22"/>
                <w:szCs w:val="22"/>
              </w:rPr>
              <w:t>629.024,78</w:t>
            </w:r>
          </w:p>
        </w:tc>
        <w:tc>
          <w:tcPr>
            <w:tcW w:w="1097" w:type="dxa"/>
            <w:vMerge/>
            <w:tcBorders>
              <w:top w:val="nil"/>
              <w:left w:val="single" w:sz="8" w:space="0" w:color="auto"/>
              <w:bottom w:val="nil"/>
              <w:right w:val="single" w:sz="8" w:space="0" w:color="auto"/>
            </w:tcBorders>
            <w:vAlign w:val="center"/>
            <w:hideMark/>
          </w:tcPr>
          <w:p w:rsidR="00C642E4" w:rsidRDefault="00C642E4">
            <w:pPr>
              <w:rPr>
                <w:rFonts w:ascii="Arial" w:hAnsi="Arial" w:cs="Arial"/>
                <w:color w:val="000000"/>
                <w:sz w:val="22"/>
                <w:szCs w:val="22"/>
              </w:rPr>
            </w:pPr>
          </w:p>
        </w:tc>
      </w:tr>
      <w:tr w:rsidR="00C642E4" w:rsidTr="00C642E4">
        <w:trPr>
          <w:trHeight w:val="300"/>
        </w:trPr>
        <w:tc>
          <w:tcPr>
            <w:tcW w:w="3790" w:type="dxa"/>
            <w:tcBorders>
              <w:top w:val="nil"/>
              <w:left w:val="nil"/>
              <w:bottom w:val="nil"/>
              <w:right w:val="nil"/>
            </w:tcBorders>
            <w:shd w:val="clear" w:color="auto" w:fill="auto"/>
            <w:noWrap/>
            <w:vAlign w:val="bottom"/>
            <w:hideMark/>
          </w:tcPr>
          <w:p w:rsidR="00C642E4" w:rsidRDefault="00C642E4">
            <w:pPr>
              <w:jc w:val="right"/>
              <w:rPr>
                <w:rFonts w:ascii="Arial" w:hAnsi="Arial" w:cs="Arial"/>
                <w:color w:val="000000"/>
                <w:sz w:val="22"/>
                <w:szCs w:val="22"/>
              </w:rPr>
            </w:pPr>
          </w:p>
        </w:tc>
        <w:tc>
          <w:tcPr>
            <w:tcW w:w="1642" w:type="dxa"/>
            <w:tcBorders>
              <w:top w:val="nil"/>
              <w:left w:val="nil"/>
              <w:bottom w:val="nil"/>
              <w:right w:val="nil"/>
            </w:tcBorders>
            <w:shd w:val="clear" w:color="auto" w:fill="auto"/>
            <w:noWrap/>
            <w:vAlign w:val="bottom"/>
            <w:hideMark/>
          </w:tcPr>
          <w:p w:rsidR="00C642E4" w:rsidRDefault="00C642E4">
            <w:pPr>
              <w:rPr>
                <w:sz w:val="20"/>
                <w:szCs w:val="20"/>
              </w:rPr>
            </w:pPr>
          </w:p>
        </w:tc>
        <w:tc>
          <w:tcPr>
            <w:tcW w:w="1097" w:type="dxa"/>
            <w:tcBorders>
              <w:top w:val="nil"/>
              <w:left w:val="nil"/>
              <w:bottom w:val="nil"/>
              <w:right w:val="nil"/>
            </w:tcBorders>
            <w:shd w:val="clear" w:color="auto" w:fill="auto"/>
            <w:noWrap/>
            <w:vAlign w:val="bottom"/>
            <w:hideMark/>
          </w:tcPr>
          <w:p w:rsidR="00C642E4" w:rsidRDefault="00C642E4">
            <w:pPr>
              <w:rPr>
                <w:sz w:val="20"/>
                <w:szCs w:val="20"/>
              </w:rPr>
            </w:pPr>
          </w:p>
        </w:tc>
        <w:tc>
          <w:tcPr>
            <w:tcW w:w="1654" w:type="dxa"/>
            <w:tcBorders>
              <w:top w:val="nil"/>
              <w:left w:val="nil"/>
              <w:bottom w:val="nil"/>
              <w:right w:val="nil"/>
            </w:tcBorders>
            <w:shd w:val="clear" w:color="auto" w:fill="auto"/>
            <w:noWrap/>
            <w:vAlign w:val="bottom"/>
            <w:hideMark/>
          </w:tcPr>
          <w:p w:rsidR="00C642E4" w:rsidRDefault="00C642E4">
            <w:pPr>
              <w:rPr>
                <w:sz w:val="20"/>
                <w:szCs w:val="20"/>
              </w:rPr>
            </w:pPr>
          </w:p>
        </w:tc>
        <w:tc>
          <w:tcPr>
            <w:tcW w:w="1097" w:type="dxa"/>
            <w:tcBorders>
              <w:top w:val="nil"/>
              <w:left w:val="nil"/>
              <w:bottom w:val="nil"/>
              <w:right w:val="nil"/>
            </w:tcBorders>
            <w:shd w:val="clear" w:color="auto" w:fill="auto"/>
            <w:noWrap/>
            <w:vAlign w:val="bottom"/>
            <w:hideMark/>
          </w:tcPr>
          <w:p w:rsidR="00C642E4" w:rsidRDefault="00C642E4">
            <w:pPr>
              <w:rPr>
                <w:sz w:val="20"/>
                <w:szCs w:val="20"/>
              </w:rPr>
            </w:pPr>
          </w:p>
        </w:tc>
      </w:tr>
      <w:tr w:rsidR="00C642E4" w:rsidTr="00C642E4">
        <w:trPr>
          <w:trHeight w:val="315"/>
        </w:trPr>
        <w:tc>
          <w:tcPr>
            <w:tcW w:w="3790" w:type="dxa"/>
            <w:tcBorders>
              <w:top w:val="nil"/>
              <w:left w:val="nil"/>
              <w:bottom w:val="single" w:sz="8" w:space="0" w:color="auto"/>
              <w:right w:val="single" w:sz="8" w:space="0" w:color="auto"/>
            </w:tcBorders>
            <w:shd w:val="clear" w:color="auto" w:fill="auto"/>
            <w:noWrap/>
            <w:vAlign w:val="bottom"/>
            <w:hideMark/>
          </w:tcPr>
          <w:p w:rsidR="00C642E4" w:rsidRDefault="00C642E4">
            <w:pPr>
              <w:jc w:val="center"/>
              <w:rPr>
                <w:rFonts w:ascii="Arial" w:hAnsi="Arial" w:cs="Arial"/>
                <w:color w:val="000000"/>
                <w:sz w:val="22"/>
                <w:szCs w:val="22"/>
              </w:rPr>
            </w:pPr>
            <w:r>
              <w:rPr>
                <w:rFonts w:ascii="Arial" w:hAnsi="Arial" w:cs="Arial"/>
                <w:color w:val="000000"/>
                <w:sz w:val="22"/>
                <w:szCs w:val="22"/>
              </w:rPr>
              <w:t>Μη κυκλοφορούν ενεργητικό</w:t>
            </w:r>
          </w:p>
        </w:tc>
        <w:tc>
          <w:tcPr>
            <w:tcW w:w="1642" w:type="dxa"/>
            <w:tcBorders>
              <w:top w:val="nil"/>
              <w:left w:val="nil"/>
              <w:bottom w:val="single" w:sz="8" w:space="0" w:color="auto"/>
              <w:right w:val="single" w:sz="8" w:space="0" w:color="auto"/>
            </w:tcBorders>
            <w:shd w:val="clear" w:color="auto" w:fill="auto"/>
            <w:noWrap/>
            <w:vAlign w:val="bottom"/>
            <w:hideMark/>
          </w:tcPr>
          <w:p w:rsidR="00C642E4" w:rsidRDefault="00C642E4">
            <w:pPr>
              <w:jc w:val="right"/>
              <w:rPr>
                <w:rFonts w:ascii="Arial" w:hAnsi="Arial" w:cs="Arial"/>
                <w:color w:val="000000"/>
                <w:sz w:val="22"/>
                <w:szCs w:val="22"/>
              </w:rPr>
            </w:pPr>
            <w:r>
              <w:rPr>
                <w:rFonts w:ascii="Arial" w:hAnsi="Arial" w:cs="Arial"/>
                <w:color w:val="000000"/>
                <w:sz w:val="22"/>
                <w:szCs w:val="22"/>
              </w:rPr>
              <w:t>306.545,46</w:t>
            </w:r>
          </w:p>
        </w:tc>
        <w:tc>
          <w:tcPr>
            <w:tcW w:w="1097" w:type="dxa"/>
            <w:vMerge w:val="restart"/>
            <w:tcBorders>
              <w:top w:val="nil"/>
              <w:left w:val="single" w:sz="8" w:space="0" w:color="auto"/>
              <w:bottom w:val="nil"/>
              <w:right w:val="single" w:sz="8" w:space="0" w:color="auto"/>
            </w:tcBorders>
            <w:shd w:val="clear" w:color="auto" w:fill="auto"/>
            <w:noWrap/>
            <w:vAlign w:val="center"/>
            <w:hideMark/>
          </w:tcPr>
          <w:p w:rsidR="00C642E4" w:rsidRDefault="00C642E4">
            <w:pPr>
              <w:jc w:val="right"/>
              <w:rPr>
                <w:rFonts w:ascii="Arial" w:hAnsi="Arial" w:cs="Arial"/>
                <w:color w:val="000000"/>
                <w:sz w:val="22"/>
                <w:szCs w:val="22"/>
              </w:rPr>
            </w:pPr>
            <w:r>
              <w:rPr>
                <w:rFonts w:ascii="Arial" w:hAnsi="Arial" w:cs="Arial"/>
                <w:color w:val="000000"/>
                <w:sz w:val="22"/>
                <w:szCs w:val="22"/>
              </w:rPr>
              <w:t>48,50%</w:t>
            </w:r>
          </w:p>
        </w:tc>
        <w:tc>
          <w:tcPr>
            <w:tcW w:w="1654" w:type="dxa"/>
            <w:tcBorders>
              <w:top w:val="nil"/>
              <w:left w:val="nil"/>
              <w:bottom w:val="single" w:sz="8" w:space="0" w:color="auto"/>
              <w:right w:val="single" w:sz="8" w:space="0" w:color="auto"/>
            </w:tcBorders>
            <w:shd w:val="clear" w:color="auto" w:fill="auto"/>
            <w:noWrap/>
            <w:vAlign w:val="bottom"/>
            <w:hideMark/>
          </w:tcPr>
          <w:p w:rsidR="00C642E4" w:rsidRDefault="00C642E4">
            <w:pPr>
              <w:jc w:val="right"/>
              <w:rPr>
                <w:rFonts w:ascii="Arial" w:hAnsi="Arial" w:cs="Arial"/>
                <w:color w:val="000000"/>
                <w:sz w:val="22"/>
                <w:szCs w:val="22"/>
              </w:rPr>
            </w:pPr>
            <w:r>
              <w:rPr>
                <w:rFonts w:ascii="Arial" w:hAnsi="Arial" w:cs="Arial"/>
                <w:color w:val="000000"/>
                <w:sz w:val="22"/>
                <w:szCs w:val="22"/>
              </w:rPr>
              <w:t>332.041,84</w:t>
            </w:r>
          </w:p>
        </w:tc>
        <w:tc>
          <w:tcPr>
            <w:tcW w:w="1097" w:type="dxa"/>
            <w:vMerge w:val="restart"/>
            <w:tcBorders>
              <w:top w:val="nil"/>
              <w:left w:val="single" w:sz="8" w:space="0" w:color="auto"/>
              <w:bottom w:val="nil"/>
              <w:right w:val="single" w:sz="8" w:space="0" w:color="auto"/>
            </w:tcBorders>
            <w:shd w:val="clear" w:color="auto" w:fill="auto"/>
            <w:noWrap/>
            <w:vAlign w:val="center"/>
            <w:hideMark/>
          </w:tcPr>
          <w:p w:rsidR="00C642E4" w:rsidRDefault="00C642E4">
            <w:pPr>
              <w:jc w:val="right"/>
              <w:rPr>
                <w:rFonts w:ascii="Arial" w:hAnsi="Arial" w:cs="Arial"/>
                <w:color w:val="000000"/>
                <w:sz w:val="22"/>
                <w:szCs w:val="22"/>
              </w:rPr>
            </w:pPr>
            <w:r>
              <w:rPr>
                <w:rFonts w:ascii="Arial" w:hAnsi="Arial" w:cs="Arial"/>
                <w:color w:val="000000"/>
                <w:sz w:val="22"/>
                <w:szCs w:val="22"/>
              </w:rPr>
              <w:t>52,79%</w:t>
            </w:r>
          </w:p>
        </w:tc>
      </w:tr>
      <w:tr w:rsidR="00C642E4" w:rsidTr="00C642E4">
        <w:trPr>
          <w:trHeight w:val="300"/>
        </w:trPr>
        <w:tc>
          <w:tcPr>
            <w:tcW w:w="3790" w:type="dxa"/>
            <w:tcBorders>
              <w:top w:val="nil"/>
              <w:left w:val="nil"/>
              <w:bottom w:val="nil"/>
              <w:right w:val="single" w:sz="8" w:space="0" w:color="auto"/>
            </w:tcBorders>
            <w:shd w:val="clear" w:color="auto" w:fill="auto"/>
            <w:noWrap/>
            <w:vAlign w:val="bottom"/>
            <w:hideMark/>
          </w:tcPr>
          <w:p w:rsidR="00C642E4" w:rsidRDefault="00C642E4">
            <w:pPr>
              <w:jc w:val="center"/>
              <w:rPr>
                <w:rFonts w:ascii="Arial" w:hAnsi="Arial" w:cs="Arial"/>
                <w:color w:val="000000"/>
                <w:sz w:val="22"/>
                <w:szCs w:val="22"/>
              </w:rPr>
            </w:pPr>
            <w:r>
              <w:rPr>
                <w:rFonts w:ascii="Arial" w:hAnsi="Arial" w:cs="Arial"/>
                <w:color w:val="000000"/>
                <w:sz w:val="22"/>
                <w:szCs w:val="22"/>
              </w:rPr>
              <w:t>Σύνολο ενεργητικού</w:t>
            </w:r>
          </w:p>
        </w:tc>
        <w:tc>
          <w:tcPr>
            <w:tcW w:w="1642" w:type="dxa"/>
            <w:tcBorders>
              <w:top w:val="nil"/>
              <w:left w:val="nil"/>
              <w:bottom w:val="nil"/>
              <w:right w:val="single" w:sz="8" w:space="0" w:color="auto"/>
            </w:tcBorders>
            <w:shd w:val="clear" w:color="auto" w:fill="auto"/>
            <w:noWrap/>
            <w:vAlign w:val="bottom"/>
            <w:hideMark/>
          </w:tcPr>
          <w:p w:rsidR="00C642E4" w:rsidRDefault="00C642E4">
            <w:pPr>
              <w:jc w:val="right"/>
              <w:rPr>
                <w:rFonts w:ascii="Arial" w:hAnsi="Arial" w:cs="Arial"/>
                <w:color w:val="000000"/>
                <w:sz w:val="22"/>
                <w:szCs w:val="22"/>
              </w:rPr>
            </w:pPr>
            <w:r>
              <w:rPr>
                <w:rFonts w:ascii="Arial" w:hAnsi="Arial" w:cs="Arial"/>
                <w:color w:val="000000"/>
                <w:sz w:val="22"/>
                <w:szCs w:val="22"/>
              </w:rPr>
              <w:t>632.099,39</w:t>
            </w:r>
          </w:p>
        </w:tc>
        <w:tc>
          <w:tcPr>
            <w:tcW w:w="1097" w:type="dxa"/>
            <w:vMerge/>
            <w:tcBorders>
              <w:top w:val="nil"/>
              <w:left w:val="single" w:sz="8" w:space="0" w:color="auto"/>
              <w:bottom w:val="nil"/>
              <w:right w:val="single" w:sz="8" w:space="0" w:color="auto"/>
            </w:tcBorders>
            <w:vAlign w:val="center"/>
            <w:hideMark/>
          </w:tcPr>
          <w:p w:rsidR="00C642E4" w:rsidRDefault="00C642E4">
            <w:pPr>
              <w:rPr>
                <w:rFonts w:ascii="Arial" w:hAnsi="Arial" w:cs="Arial"/>
                <w:color w:val="000000"/>
                <w:sz w:val="22"/>
                <w:szCs w:val="22"/>
              </w:rPr>
            </w:pPr>
          </w:p>
        </w:tc>
        <w:tc>
          <w:tcPr>
            <w:tcW w:w="1654" w:type="dxa"/>
            <w:tcBorders>
              <w:top w:val="nil"/>
              <w:left w:val="nil"/>
              <w:bottom w:val="nil"/>
              <w:right w:val="single" w:sz="8" w:space="0" w:color="auto"/>
            </w:tcBorders>
            <w:shd w:val="clear" w:color="auto" w:fill="auto"/>
            <w:noWrap/>
            <w:vAlign w:val="bottom"/>
            <w:hideMark/>
          </w:tcPr>
          <w:p w:rsidR="00C642E4" w:rsidRDefault="00C642E4">
            <w:pPr>
              <w:jc w:val="right"/>
              <w:rPr>
                <w:rFonts w:ascii="Arial" w:hAnsi="Arial" w:cs="Arial"/>
                <w:color w:val="000000"/>
                <w:sz w:val="22"/>
                <w:szCs w:val="22"/>
              </w:rPr>
            </w:pPr>
            <w:r>
              <w:rPr>
                <w:rFonts w:ascii="Arial" w:hAnsi="Arial" w:cs="Arial"/>
                <w:color w:val="000000"/>
                <w:sz w:val="22"/>
                <w:szCs w:val="22"/>
              </w:rPr>
              <w:t>629.024,78</w:t>
            </w:r>
          </w:p>
        </w:tc>
        <w:tc>
          <w:tcPr>
            <w:tcW w:w="1097" w:type="dxa"/>
            <w:vMerge/>
            <w:tcBorders>
              <w:top w:val="nil"/>
              <w:left w:val="single" w:sz="8" w:space="0" w:color="auto"/>
              <w:bottom w:val="nil"/>
              <w:right w:val="single" w:sz="8" w:space="0" w:color="auto"/>
            </w:tcBorders>
            <w:vAlign w:val="center"/>
            <w:hideMark/>
          </w:tcPr>
          <w:p w:rsidR="00C642E4" w:rsidRDefault="00C642E4">
            <w:pPr>
              <w:rPr>
                <w:rFonts w:ascii="Arial" w:hAnsi="Arial" w:cs="Arial"/>
                <w:color w:val="000000"/>
                <w:sz w:val="22"/>
                <w:szCs w:val="22"/>
              </w:rPr>
            </w:pPr>
          </w:p>
        </w:tc>
      </w:tr>
      <w:tr w:rsidR="00C642E4" w:rsidTr="00C642E4">
        <w:trPr>
          <w:trHeight w:val="300"/>
        </w:trPr>
        <w:tc>
          <w:tcPr>
            <w:tcW w:w="3790" w:type="dxa"/>
            <w:tcBorders>
              <w:top w:val="nil"/>
              <w:left w:val="nil"/>
              <w:bottom w:val="nil"/>
              <w:right w:val="nil"/>
            </w:tcBorders>
            <w:shd w:val="clear" w:color="auto" w:fill="auto"/>
            <w:noWrap/>
            <w:vAlign w:val="bottom"/>
            <w:hideMark/>
          </w:tcPr>
          <w:p w:rsidR="00C642E4" w:rsidRDefault="00C642E4">
            <w:pPr>
              <w:jc w:val="right"/>
              <w:rPr>
                <w:rFonts w:ascii="Arial" w:hAnsi="Arial" w:cs="Arial"/>
                <w:color w:val="000000"/>
                <w:sz w:val="22"/>
                <w:szCs w:val="22"/>
              </w:rPr>
            </w:pPr>
          </w:p>
        </w:tc>
        <w:tc>
          <w:tcPr>
            <w:tcW w:w="1642" w:type="dxa"/>
            <w:tcBorders>
              <w:top w:val="nil"/>
              <w:left w:val="nil"/>
              <w:bottom w:val="nil"/>
              <w:right w:val="nil"/>
            </w:tcBorders>
            <w:shd w:val="clear" w:color="auto" w:fill="auto"/>
            <w:noWrap/>
            <w:vAlign w:val="bottom"/>
            <w:hideMark/>
          </w:tcPr>
          <w:p w:rsidR="00C642E4" w:rsidRDefault="00C642E4">
            <w:pPr>
              <w:rPr>
                <w:sz w:val="20"/>
                <w:szCs w:val="20"/>
              </w:rPr>
            </w:pPr>
          </w:p>
        </w:tc>
        <w:tc>
          <w:tcPr>
            <w:tcW w:w="1097" w:type="dxa"/>
            <w:tcBorders>
              <w:top w:val="nil"/>
              <w:left w:val="nil"/>
              <w:bottom w:val="nil"/>
              <w:right w:val="nil"/>
            </w:tcBorders>
            <w:shd w:val="clear" w:color="auto" w:fill="auto"/>
            <w:noWrap/>
            <w:vAlign w:val="bottom"/>
            <w:hideMark/>
          </w:tcPr>
          <w:p w:rsidR="00C642E4" w:rsidRDefault="00C642E4">
            <w:pPr>
              <w:rPr>
                <w:sz w:val="20"/>
                <w:szCs w:val="20"/>
              </w:rPr>
            </w:pPr>
          </w:p>
        </w:tc>
        <w:tc>
          <w:tcPr>
            <w:tcW w:w="1654" w:type="dxa"/>
            <w:tcBorders>
              <w:top w:val="nil"/>
              <w:left w:val="nil"/>
              <w:bottom w:val="nil"/>
              <w:right w:val="nil"/>
            </w:tcBorders>
            <w:shd w:val="clear" w:color="auto" w:fill="auto"/>
            <w:noWrap/>
            <w:vAlign w:val="bottom"/>
            <w:hideMark/>
          </w:tcPr>
          <w:p w:rsidR="00C642E4" w:rsidRDefault="00C642E4">
            <w:pPr>
              <w:rPr>
                <w:sz w:val="20"/>
                <w:szCs w:val="20"/>
              </w:rPr>
            </w:pPr>
          </w:p>
        </w:tc>
        <w:tc>
          <w:tcPr>
            <w:tcW w:w="1097" w:type="dxa"/>
            <w:tcBorders>
              <w:top w:val="nil"/>
              <w:left w:val="nil"/>
              <w:bottom w:val="nil"/>
              <w:right w:val="nil"/>
            </w:tcBorders>
            <w:shd w:val="clear" w:color="auto" w:fill="auto"/>
            <w:noWrap/>
            <w:vAlign w:val="bottom"/>
            <w:hideMark/>
          </w:tcPr>
          <w:p w:rsidR="00C642E4" w:rsidRDefault="00C642E4">
            <w:pPr>
              <w:rPr>
                <w:sz w:val="20"/>
                <w:szCs w:val="20"/>
              </w:rPr>
            </w:pPr>
          </w:p>
        </w:tc>
      </w:tr>
      <w:tr w:rsidR="00C642E4" w:rsidTr="00C642E4">
        <w:trPr>
          <w:trHeight w:val="855"/>
        </w:trPr>
        <w:tc>
          <w:tcPr>
            <w:tcW w:w="9280" w:type="dxa"/>
            <w:gridSpan w:val="5"/>
            <w:tcBorders>
              <w:top w:val="nil"/>
              <w:left w:val="nil"/>
              <w:bottom w:val="nil"/>
              <w:right w:val="nil"/>
            </w:tcBorders>
            <w:shd w:val="clear" w:color="auto" w:fill="auto"/>
            <w:vAlign w:val="bottom"/>
            <w:hideMark/>
          </w:tcPr>
          <w:p w:rsidR="00C642E4" w:rsidRDefault="00C642E4">
            <w:pPr>
              <w:jc w:val="both"/>
              <w:rPr>
                <w:rFonts w:ascii="Arial" w:hAnsi="Arial" w:cs="Arial"/>
                <w:color w:val="000000"/>
                <w:sz w:val="22"/>
                <w:szCs w:val="22"/>
              </w:rPr>
            </w:pPr>
            <w:r>
              <w:rPr>
                <w:rFonts w:ascii="Arial" w:hAnsi="Arial" w:cs="Arial"/>
                <w:color w:val="000000"/>
                <w:sz w:val="22"/>
                <w:szCs w:val="22"/>
              </w:rPr>
              <w:t>Οι παραπάνω δείκτες δείχνουν την αναλογία κεφαλαίων που έχει διατεθεί σε κυκλοφοριακό και πάγιο ενεργητικό.</w:t>
            </w:r>
          </w:p>
        </w:tc>
      </w:tr>
      <w:tr w:rsidR="00C642E4" w:rsidTr="00C642E4">
        <w:trPr>
          <w:trHeight w:val="300"/>
        </w:trPr>
        <w:tc>
          <w:tcPr>
            <w:tcW w:w="3790" w:type="dxa"/>
            <w:tcBorders>
              <w:top w:val="nil"/>
              <w:left w:val="nil"/>
              <w:bottom w:val="nil"/>
              <w:right w:val="nil"/>
            </w:tcBorders>
            <w:shd w:val="clear" w:color="auto" w:fill="auto"/>
            <w:noWrap/>
            <w:vAlign w:val="bottom"/>
            <w:hideMark/>
          </w:tcPr>
          <w:p w:rsidR="00C642E4" w:rsidRDefault="00C642E4">
            <w:pPr>
              <w:jc w:val="both"/>
              <w:rPr>
                <w:rFonts w:ascii="Arial" w:hAnsi="Arial" w:cs="Arial"/>
                <w:color w:val="000000"/>
                <w:sz w:val="22"/>
                <w:szCs w:val="22"/>
              </w:rPr>
            </w:pPr>
          </w:p>
        </w:tc>
        <w:tc>
          <w:tcPr>
            <w:tcW w:w="1642" w:type="dxa"/>
            <w:tcBorders>
              <w:top w:val="nil"/>
              <w:left w:val="nil"/>
              <w:bottom w:val="nil"/>
              <w:right w:val="nil"/>
            </w:tcBorders>
            <w:shd w:val="clear" w:color="auto" w:fill="auto"/>
            <w:noWrap/>
            <w:vAlign w:val="bottom"/>
            <w:hideMark/>
          </w:tcPr>
          <w:p w:rsidR="00C642E4" w:rsidRDefault="00C642E4">
            <w:pPr>
              <w:rPr>
                <w:sz w:val="20"/>
                <w:szCs w:val="20"/>
              </w:rPr>
            </w:pPr>
          </w:p>
        </w:tc>
        <w:tc>
          <w:tcPr>
            <w:tcW w:w="1097" w:type="dxa"/>
            <w:tcBorders>
              <w:top w:val="nil"/>
              <w:left w:val="nil"/>
              <w:bottom w:val="nil"/>
              <w:right w:val="nil"/>
            </w:tcBorders>
            <w:shd w:val="clear" w:color="auto" w:fill="auto"/>
            <w:noWrap/>
            <w:vAlign w:val="bottom"/>
            <w:hideMark/>
          </w:tcPr>
          <w:p w:rsidR="00C642E4" w:rsidRDefault="00C642E4">
            <w:pPr>
              <w:jc w:val="right"/>
              <w:rPr>
                <w:sz w:val="20"/>
                <w:szCs w:val="20"/>
              </w:rPr>
            </w:pPr>
          </w:p>
        </w:tc>
        <w:tc>
          <w:tcPr>
            <w:tcW w:w="1654" w:type="dxa"/>
            <w:tcBorders>
              <w:top w:val="nil"/>
              <w:left w:val="nil"/>
              <w:bottom w:val="nil"/>
              <w:right w:val="nil"/>
            </w:tcBorders>
            <w:shd w:val="clear" w:color="auto" w:fill="auto"/>
            <w:noWrap/>
            <w:vAlign w:val="bottom"/>
            <w:hideMark/>
          </w:tcPr>
          <w:p w:rsidR="00C642E4" w:rsidRDefault="00C642E4">
            <w:pPr>
              <w:jc w:val="right"/>
              <w:rPr>
                <w:sz w:val="20"/>
                <w:szCs w:val="20"/>
              </w:rPr>
            </w:pPr>
          </w:p>
        </w:tc>
        <w:tc>
          <w:tcPr>
            <w:tcW w:w="1097" w:type="dxa"/>
            <w:tcBorders>
              <w:top w:val="nil"/>
              <w:left w:val="nil"/>
              <w:bottom w:val="nil"/>
              <w:right w:val="nil"/>
            </w:tcBorders>
            <w:shd w:val="clear" w:color="auto" w:fill="auto"/>
            <w:noWrap/>
            <w:vAlign w:val="bottom"/>
            <w:hideMark/>
          </w:tcPr>
          <w:p w:rsidR="00C642E4" w:rsidRDefault="00C642E4">
            <w:pPr>
              <w:jc w:val="right"/>
              <w:rPr>
                <w:sz w:val="20"/>
                <w:szCs w:val="20"/>
              </w:rPr>
            </w:pPr>
          </w:p>
        </w:tc>
      </w:tr>
      <w:tr w:rsidR="00C642E4" w:rsidTr="00C642E4">
        <w:trPr>
          <w:trHeight w:val="315"/>
        </w:trPr>
        <w:tc>
          <w:tcPr>
            <w:tcW w:w="3790" w:type="dxa"/>
            <w:tcBorders>
              <w:top w:val="nil"/>
              <w:left w:val="nil"/>
              <w:bottom w:val="single" w:sz="8" w:space="0" w:color="auto"/>
              <w:right w:val="single" w:sz="8" w:space="0" w:color="auto"/>
            </w:tcBorders>
            <w:shd w:val="clear" w:color="auto" w:fill="auto"/>
            <w:noWrap/>
            <w:vAlign w:val="bottom"/>
            <w:hideMark/>
          </w:tcPr>
          <w:p w:rsidR="00C642E4" w:rsidRDefault="00C642E4">
            <w:pPr>
              <w:jc w:val="center"/>
              <w:rPr>
                <w:rFonts w:ascii="Arial" w:hAnsi="Arial" w:cs="Arial"/>
                <w:color w:val="000000"/>
                <w:sz w:val="22"/>
                <w:szCs w:val="22"/>
              </w:rPr>
            </w:pPr>
            <w:r>
              <w:rPr>
                <w:rFonts w:ascii="Arial" w:hAnsi="Arial" w:cs="Arial"/>
                <w:color w:val="000000"/>
                <w:sz w:val="22"/>
                <w:szCs w:val="22"/>
              </w:rPr>
              <w:t>Καθαρή θέση</w:t>
            </w:r>
          </w:p>
        </w:tc>
        <w:tc>
          <w:tcPr>
            <w:tcW w:w="1642" w:type="dxa"/>
            <w:tcBorders>
              <w:top w:val="nil"/>
              <w:left w:val="nil"/>
              <w:bottom w:val="single" w:sz="8" w:space="0" w:color="auto"/>
              <w:right w:val="single" w:sz="8" w:space="0" w:color="auto"/>
            </w:tcBorders>
            <w:shd w:val="clear" w:color="auto" w:fill="auto"/>
            <w:noWrap/>
            <w:vAlign w:val="bottom"/>
            <w:hideMark/>
          </w:tcPr>
          <w:p w:rsidR="00C642E4" w:rsidRDefault="00C642E4">
            <w:pPr>
              <w:jc w:val="right"/>
              <w:rPr>
                <w:rFonts w:ascii="Arial" w:hAnsi="Arial" w:cs="Arial"/>
                <w:color w:val="000000"/>
                <w:sz w:val="22"/>
                <w:szCs w:val="22"/>
              </w:rPr>
            </w:pPr>
            <w:r>
              <w:rPr>
                <w:rFonts w:ascii="Arial" w:hAnsi="Arial" w:cs="Arial"/>
                <w:color w:val="000000"/>
                <w:sz w:val="22"/>
                <w:szCs w:val="22"/>
              </w:rPr>
              <w:t>339.576,83</w:t>
            </w:r>
          </w:p>
        </w:tc>
        <w:tc>
          <w:tcPr>
            <w:tcW w:w="1097" w:type="dxa"/>
            <w:vMerge w:val="restart"/>
            <w:tcBorders>
              <w:top w:val="nil"/>
              <w:left w:val="single" w:sz="8" w:space="0" w:color="auto"/>
              <w:bottom w:val="nil"/>
              <w:right w:val="single" w:sz="8" w:space="0" w:color="auto"/>
            </w:tcBorders>
            <w:shd w:val="clear" w:color="auto" w:fill="auto"/>
            <w:noWrap/>
            <w:vAlign w:val="center"/>
            <w:hideMark/>
          </w:tcPr>
          <w:p w:rsidR="00C642E4" w:rsidRDefault="00C642E4">
            <w:pPr>
              <w:jc w:val="right"/>
              <w:rPr>
                <w:rFonts w:ascii="Arial" w:hAnsi="Arial" w:cs="Arial"/>
                <w:color w:val="000000"/>
                <w:sz w:val="22"/>
                <w:szCs w:val="22"/>
              </w:rPr>
            </w:pPr>
            <w:r>
              <w:rPr>
                <w:rFonts w:ascii="Arial" w:hAnsi="Arial" w:cs="Arial"/>
                <w:color w:val="000000"/>
                <w:sz w:val="22"/>
                <w:szCs w:val="22"/>
              </w:rPr>
              <w:t>159,61%</w:t>
            </w:r>
          </w:p>
        </w:tc>
        <w:tc>
          <w:tcPr>
            <w:tcW w:w="1654" w:type="dxa"/>
            <w:tcBorders>
              <w:top w:val="nil"/>
              <w:left w:val="nil"/>
              <w:bottom w:val="single" w:sz="8" w:space="0" w:color="auto"/>
              <w:right w:val="single" w:sz="8" w:space="0" w:color="auto"/>
            </w:tcBorders>
            <w:shd w:val="clear" w:color="auto" w:fill="auto"/>
            <w:noWrap/>
            <w:vAlign w:val="bottom"/>
            <w:hideMark/>
          </w:tcPr>
          <w:p w:rsidR="00C642E4" w:rsidRDefault="00C642E4">
            <w:pPr>
              <w:jc w:val="right"/>
              <w:rPr>
                <w:rFonts w:ascii="Arial" w:hAnsi="Arial" w:cs="Arial"/>
                <w:color w:val="000000"/>
                <w:sz w:val="22"/>
                <w:szCs w:val="22"/>
              </w:rPr>
            </w:pPr>
            <w:r>
              <w:rPr>
                <w:rFonts w:ascii="Arial" w:hAnsi="Arial" w:cs="Arial"/>
                <w:color w:val="000000"/>
                <w:sz w:val="22"/>
                <w:szCs w:val="22"/>
              </w:rPr>
              <w:t>326.378,08</w:t>
            </w:r>
          </w:p>
        </w:tc>
        <w:tc>
          <w:tcPr>
            <w:tcW w:w="1097" w:type="dxa"/>
            <w:vMerge w:val="restart"/>
            <w:tcBorders>
              <w:top w:val="nil"/>
              <w:left w:val="single" w:sz="8" w:space="0" w:color="auto"/>
              <w:bottom w:val="nil"/>
              <w:right w:val="single" w:sz="8" w:space="0" w:color="auto"/>
            </w:tcBorders>
            <w:shd w:val="clear" w:color="auto" w:fill="auto"/>
            <w:noWrap/>
            <w:vAlign w:val="center"/>
            <w:hideMark/>
          </w:tcPr>
          <w:p w:rsidR="00C642E4" w:rsidRDefault="00C642E4">
            <w:pPr>
              <w:jc w:val="right"/>
              <w:rPr>
                <w:rFonts w:ascii="Arial" w:hAnsi="Arial" w:cs="Arial"/>
                <w:color w:val="000000"/>
                <w:sz w:val="22"/>
                <w:szCs w:val="22"/>
              </w:rPr>
            </w:pPr>
            <w:r>
              <w:rPr>
                <w:rFonts w:ascii="Arial" w:hAnsi="Arial" w:cs="Arial"/>
                <w:color w:val="000000"/>
                <w:sz w:val="22"/>
                <w:szCs w:val="22"/>
              </w:rPr>
              <w:t>146,44%</w:t>
            </w:r>
          </w:p>
        </w:tc>
      </w:tr>
      <w:tr w:rsidR="00C642E4" w:rsidTr="00C642E4">
        <w:trPr>
          <w:trHeight w:val="300"/>
        </w:trPr>
        <w:tc>
          <w:tcPr>
            <w:tcW w:w="3790" w:type="dxa"/>
            <w:tcBorders>
              <w:top w:val="nil"/>
              <w:left w:val="nil"/>
              <w:bottom w:val="nil"/>
              <w:right w:val="single" w:sz="8" w:space="0" w:color="auto"/>
            </w:tcBorders>
            <w:shd w:val="clear" w:color="auto" w:fill="auto"/>
            <w:noWrap/>
            <w:vAlign w:val="bottom"/>
            <w:hideMark/>
          </w:tcPr>
          <w:p w:rsidR="00C642E4" w:rsidRDefault="00C642E4">
            <w:pPr>
              <w:jc w:val="center"/>
              <w:rPr>
                <w:rFonts w:ascii="Arial" w:hAnsi="Arial" w:cs="Arial"/>
                <w:color w:val="000000"/>
                <w:sz w:val="22"/>
                <w:szCs w:val="22"/>
              </w:rPr>
            </w:pPr>
            <w:r>
              <w:rPr>
                <w:rFonts w:ascii="Arial" w:hAnsi="Arial" w:cs="Arial"/>
                <w:color w:val="000000"/>
                <w:sz w:val="22"/>
                <w:szCs w:val="22"/>
              </w:rPr>
              <w:t>Σύνολο υποχρεώσεων</w:t>
            </w:r>
          </w:p>
        </w:tc>
        <w:tc>
          <w:tcPr>
            <w:tcW w:w="1642" w:type="dxa"/>
            <w:tcBorders>
              <w:top w:val="nil"/>
              <w:left w:val="nil"/>
              <w:bottom w:val="nil"/>
              <w:right w:val="single" w:sz="8" w:space="0" w:color="auto"/>
            </w:tcBorders>
            <w:shd w:val="clear" w:color="auto" w:fill="auto"/>
            <w:noWrap/>
            <w:vAlign w:val="bottom"/>
            <w:hideMark/>
          </w:tcPr>
          <w:p w:rsidR="00C642E4" w:rsidRDefault="00C642E4">
            <w:pPr>
              <w:jc w:val="right"/>
              <w:rPr>
                <w:rFonts w:ascii="Arial" w:hAnsi="Arial" w:cs="Arial"/>
                <w:color w:val="000000"/>
                <w:sz w:val="22"/>
                <w:szCs w:val="22"/>
              </w:rPr>
            </w:pPr>
            <w:r>
              <w:rPr>
                <w:rFonts w:ascii="Arial" w:hAnsi="Arial" w:cs="Arial"/>
                <w:color w:val="000000"/>
                <w:sz w:val="22"/>
                <w:szCs w:val="22"/>
              </w:rPr>
              <w:t>212.747,82</w:t>
            </w:r>
          </w:p>
        </w:tc>
        <w:tc>
          <w:tcPr>
            <w:tcW w:w="1097" w:type="dxa"/>
            <w:vMerge/>
            <w:tcBorders>
              <w:top w:val="nil"/>
              <w:left w:val="single" w:sz="8" w:space="0" w:color="auto"/>
              <w:bottom w:val="nil"/>
              <w:right w:val="single" w:sz="8" w:space="0" w:color="auto"/>
            </w:tcBorders>
            <w:vAlign w:val="center"/>
            <w:hideMark/>
          </w:tcPr>
          <w:p w:rsidR="00C642E4" w:rsidRDefault="00C642E4">
            <w:pPr>
              <w:rPr>
                <w:rFonts w:ascii="Arial" w:hAnsi="Arial" w:cs="Arial"/>
                <w:color w:val="000000"/>
                <w:sz w:val="22"/>
                <w:szCs w:val="22"/>
              </w:rPr>
            </w:pPr>
          </w:p>
        </w:tc>
        <w:tc>
          <w:tcPr>
            <w:tcW w:w="1654" w:type="dxa"/>
            <w:tcBorders>
              <w:top w:val="nil"/>
              <w:left w:val="nil"/>
              <w:bottom w:val="nil"/>
              <w:right w:val="single" w:sz="8" w:space="0" w:color="auto"/>
            </w:tcBorders>
            <w:shd w:val="clear" w:color="auto" w:fill="auto"/>
            <w:noWrap/>
            <w:vAlign w:val="bottom"/>
            <w:hideMark/>
          </w:tcPr>
          <w:p w:rsidR="00C642E4" w:rsidRDefault="00C642E4">
            <w:pPr>
              <w:jc w:val="right"/>
              <w:rPr>
                <w:rFonts w:ascii="Arial" w:hAnsi="Arial" w:cs="Arial"/>
                <w:color w:val="000000"/>
                <w:sz w:val="22"/>
                <w:szCs w:val="22"/>
              </w:rPr>
            </w:pPr>
            <w:r>
              <w:rPr>
                <w:rFonts w:ascii="Arial" w:hAnsi="Arial" w:cs="Arial"/>
                <w:color w:val="000000"/>
                <w:sz w:val="22"/>
                <w:szCs w:val="22"/>
              </w:rPr>
              <w:t>222.871,96</w:t>
            </w:r>
          </w:p>
        </w:tc>
        <w:tc>
          <w:tcPr>
            <w:tcW w:w="1097" w:type="dxa"/>
            <w:vMerge/>
            <w:tcBorders>
              <w:top w:val="nil"/>
              <w:left w:val="single" w:sz="8" w:space="0" w:color="auto"/>
              <w:bottom w:val="nil"/>
              <w:right w:val="single" w:sz="8" w:space="0" w:color="auto"/>
            </w:tcBorders>
            <w:vAlign w:val="center"/>
            <w:hideMark/>
          </w:tcPr>
          <w:p w:rsidR="00C642E4" w:rsidRDefault="00C642E4">
            <w:pPr>
              <w:rPr>
                <w:rFonts w:ascii="Arial" w:hAnsi="Arial" w:cs="Arial"/>
                <w:color w:val="000000"/>
                <w:sz w:val="22"/>
                <w:szCs w:val="22"/>
              </w:rPr>
            </w:pPr>
          </w:p>
        </w:tc>
      </w:tr>
      <w:tr w:rsidR="00C642E4" w:rsidTr="00C642E4">
        <w:trPr>
          <w:trHeight w:val="300"/>
        </w:trPr>
        <w:tc>
          <w:tcPr>
            <w:tcW w:w="3790" w:type="dxa"/>
            <w:tcBorders>
              <w:top w:val="nil"/>
              <w:left w:val="nil"/>
              <w:bottom w:val="nil"/>
              <w:right w:val="nil"/>
            </w:tcBorders>
            <w:shd w:val="clear" w:color="auto" w:fill="auto"/>
            <w:noWrap/>
            <w:vAlign w:val="bottom"/>
            <w:hideMark/>
          </w:tcPr>
          <w:p w:rsidR="00C642E4" w:rsidRDefault="00C642E4">
            <w:pPr>
              <w:jc w:val="right"/>
              <w:rPr>
                <w:rFonts w:ascii="Arial" w:hAnsi="Arial" w:cs="Arial"/>
                <w:color w:val="000000"/>
                <w:sz w:val="22"/>
                <w:szCs w:val="22"/>
              </w:rPr>
            </w:pPr>
          </w:p>
        </w:tc>
        <w:tc>
          <w:tcPr>
            <w:tcW w:w="1642" w:type="dxa"/>
            <w:tcBorders>
              <w:top w:val="nil"/>
              <w:left w:val="nil"/>
              <w:bottom w:val="nil"/>
              <w:right w:val="nil"/>
            </w:tcBorders>
            <w:shd w:val="clear" w:color="auto" w:fill="auto"/>
            <w:noWrap/>
            <w:vAlign w:val="bottom"/>
            <w:hideMark/>
          </w:tcPr>
          <w:p w:rsidR="00C642E4" w:rsidRDefault="00C642E4">
            <w:pPr>
              <w:rPr>
                <w:sz w:val="20"/>
                <w:szCs w:val="20"/>
              </w:rPr>
            </w:pPr>
          </w:p>
        </w:tc>
        <w:tc>
          <w:tcPr>
            <w:tcW w:w="1097" w:type="dxa"/>
            <w:tcBorders>
              <w:top w:val="nil"/>
              <w:left w:val="nil"/>
              <w:bottom w:val="nil"/>
              <w:right w:val="nil"/>
            </w:tcBorders>
            <w:shd w:val="clear" w:color="auto" w:fill="auto"/>
            <w:noWrap/>
            <w:vAlign w:val="bottom"/>
            <w:hideMark/>
          </w:tcPr>
          <w:p w:rsidR="00C642E4" w:rsidRDefault="00C642E4">
            <w:pPr>
              <w:rPr>
                <w:sz w:val="20"/>
                <w:szCs w:val="20"/>
              </w:rPr>
            </w:pPr>
          </w:p>
        </w:tc>
        <w:tc>
          <w:tcPr>
            <w:tcW w:w="1654" w:type="dxa"/>
            <w:tcBorders>
              <w:top w:val="nil"/>
              <w:left w:val="nil"/>
              <w:bottom w:val="nil"/>
              <w:right w:val="nil"/>
            </w:tcBorders>
            <w:shd w:val="clear" w:color="auto" w:fill="auto"/>
            <w:noWrap/>
            <w:vAlign w:val="bottom"/>
            <w:hideMark/>
          </w:tcPr>
          <w:p w:rsidR="00C642E4" w:rsidRDefault="00C642E4">
            <w:pPr>
              <w:rPr>
                <w:sz w:val="20"/>
                <w:szCs w:val="20"/>
              </w:rPr>
            </w:pPr>
          </w:p>
        </w:tc>
        <w:tc>
          <w:tcPr>
            <w:tcW w:w="1097" w:type="dxa"/>
            <w:tcBorders>
              <w:top w:val="nil"/>
              <w:left w:val="nil"/>
              <w:bottom w:val="nil"/>
              <w:right w:val="nil"/>
            </w:tcBorders>
            <w:shd w:val="clear" w:color="auto" w:fill="auto"/>
            <w:noWrap/>
            <w:vAlign w:val="bottom"/>
            <w:hideMark/>
          </w:tcPr>
          <w:p w:rsidR="00C642E4" w:rsidRDefault="00C642E4">
            <w:pPr>
              <w:rPr>
                <w:sz w:val="20"/>
                <w:szCs w:val="20"/>
              </w:rPr>
            </w:pPr>
          </w:p>
        </w:tc>
      </w:tr>
      <w:tr w:rsidR="00C642E4" w:rsidTr="00C642E4">
        <w:trPr>
          <w:trHeight w:val="300"/>
        </w:trPr>
        <w:tc>
          <w:tcPr>
            <w:tcW w:w="9280" w:type="dxa"/>
            <w:gridSpan w:val="5"/>
            <w:tcBorders>
              <w:top w:val="nil"/>
              <w:left w:val="nil"/>
              <w:bottom w:val="nil"/>
              <w:right w:val="nil"/>
            </w:tcBorders>
            <w:shd w:val="clear" w:color="auto" w:fill="auto"/>
            <w:vAlign w:val="bottom"/>
            <w:hideMark/>
          </w:tcPr>
          <w:p w:rsidR="00C642E4" w:rsidRDefault="00C642E4">
            <w:pPr>
              <w:jc w:val="both"/>
              <w:rPr>
                <w:rFonts w:ascii="Arial" w:hAnsi="Arial" w:cs="Arial"/>
                <w:color w:val="000000"/>
                <w:sz w:val="22"/>
                <w:szCs w:val="22"/>
              </w:rPr>
            </w:pPr>
            <w:r>
              <w:rPr>
                <w:rFonts w:ascii="Arial" w:hAnsi="Arial" w:cs="Arial"/>
                <w:color w:val="000000"/>
                <w:sz w:val="22"/>
                <w:szCs w:val="22"/>
              </w:rPr>
              <w:t>Ο παραπάνω δείκτης  δείχνει την οικονομική αυτάρκεια της εταιρείας</w:t>
            </w:r>
          </w:p>
        </w:tc>
      </w:tr>
      <w:tr w:rsidR="00C642E4" w:rsidTr="00C642E4">
        <w:trPr>
          <w:trHeight w:val="300"/>
        </w:trPr>
        <w:tc>
          <w:tcPr>
            <w:tcW w:w="3790" w:type="dxa"/>
            <w:tcBorders>
              <w:top w:val="nil"/>
              <w:left w:val="nil"/>
              <w:bottom w:val="nil"/>
              <w:right w:val="nil"/>
            </w:tcBorders>
            <w:shd w:val="clear" w:color="auto" w:fill="auto"/>
            <w:noWrap/>
            <w:vAlign w:val="bottom"/>
            <w:hideMark/>
          </w:tcPr>
          <w:p w:rsidR="00C642E4" w:rsidRDefault="00C642E4">
            <w:pPr>
              <w:jc w:val="both"/>
              <w:rPr>
                <w:rFonts w:ascii="Arial" w:hAnsi="Arial" w:cs="Arial"/>
                <w:color w:val="000000"/>
                <w:sz w:val="22"/>
                <w:szCs w:val="22"/>
              </w:rPr>
            </w:pPr>
          </w:p>
        </w:tc>
        <w:tc>
          <w:tcPr>
            <w:tcW w:w="1642" w:type="dxa"/>
            <w:tcBorders>
              <w:top w:val="nil"/>
              <w:left w:val="nil"/>
              <w:bottom w:val="nil"/>
              <w:right w:val="nil"/>
            </w:tcBorders>
            <w:shd w:val="clear" w:color="auto" w:fill="auto"/>
            <w:noWrap/>
            <w:vAlign w:val="bottom"/>
            <w:hideMark/>
          </w:tcPr>
          <w:p w:rsidR="00C642E4" w:rsidRDefault="00C642E4">
            <w:pPr>
              <w:rPr>
                <w:sz w:val="20"/>
                <w:szCs w:val="20"/>
              </w:rPr>
            </w:pPr>
          </w:p>
        </w:tc>
        <w:tc>
          <w:tcPr>
            <w:tcW w:w="1097" w:type="dxa"/>
            <w:tcBorders>
              <w:top w:val="nil"/>
              <w:left w:val="nil"/>
              <w:bottom w:val="nil"/>
              <w:right w:val="nil"/>
            </w:tcBorders>
            <w:shd w:val="clear" w:color="auto" w:fill="auto"/>
            <w:noWrap/>
            <w:vAlign w:val="bottom"/>
            <w:hideMark/>
          </w:tcPr>
          <w:p w:rsidR="00C642E4" w:rsidRDefault="00C642E4">
            <w:pPr>
              <w:rPr>
                <w:sz w:val="20"/>
                <w:szCs w:val="20"/>
              </w:rPr>
            </w:pPr>
          </w:p>
        </w:tc>
        <w:tc>
          <w:tcPr>
            <w:tcW w:w="1654" w:type="dxa"/>
            <w:tcBorders>
              <w:top w:val="nil"/>
              <w:left w:val="nil"/>
              <w:bottom w:val="nil"/>
              <w:right w:val="nil"/>
            </w:tcBorders>
            <w:shd w:val="clear" w:color="auto" w:fill="auto"/>
            <w:noWrap/>
            <w:vAlign w:val="bottom"/>
            <w:hideMark/>
          </w:tcPr>
          <w:p w:rsidR="00C642E4" w:rsidRDefault="00C642E4">
            <w:pPr>
              <w:rPr>
                <w:sz w:val="20"/>
                <w:szCs w:val="20"/>
              </w:rPr>
            </w:pPr>
          </w:p>
        </w:tc>
        <w:tc>
          <w:tcPr>
            <w:tcW w:w="1097" w:type="dxa"/>
            <w:tcBorders>
              <w:top w:val="nil"/>
              <w:left w:val="nil"/>
              <w:bottom w:val="nil"/>
              <w:right w:val="nil"/>
            </w:tcBorders>
            <w:shd w:val="clear" w:color="auto" w:fill="auto"/>
            <w:noWrap/>
            <w:vAlign w:val="bottom"/>
            <w:hideMark/>
          </w:tcPr>
          <w:p w:rsidR="00C642E4" w:rsidRDefault="00C642E4">
            <w:pPr>
              <w:rPr>
                <w:sz w:val="20"/>
                <w:szCs w:val="20"/>
              </w:rPr>
            </w:pPr>
          </w:p>
        </w:tc>
      </w:tr>
      <w:tr w:rsidR="00C642E4" w:rsidTr="00C642E4">
        <w:trPr>
          <w:trHeight w:val="315"/>
        </w:trPr>
        <w:tc>
          <w:tcPr>
            <w:tcW w:w="3790" w:type="dxa"/>
            <w:tcBorders>
              <w:top w:val="nil"/>
              <w:left w:val="nil"/>
              <w:bottom w:val="single" w:sz="8" w:space="0" w:color="auto"/>
              <w:right w:val="single" w:sz="8" w:space="0" w:color="auto"/>
            </w:tcBorders>
            <w:shd w:val="clear" w:color="auto" w:fill="auto"/>
            <w:noWrap/>
            <w:vAlign w:val="bottom"/>
            <w:hideMark/>
          </w:tcPr>
          <w:p w:rsidR="00C642E4" w:rsidRDefault="00C642E4">
            <w:pPr>
              <w:jc w:val="center"/>
              <w:rPr>
                <w:rFonts w:ascii="Arial" w:hAnsi="Arial" w:cs="Arial"/>
                <w:color w:val="000000"/>
                <w:sz w:val="22"/>
                <w:szCs w:val="22"/>
              </w:rPr>
            </w:pPr>
            <w:r>
              <w:rPr>
                <w:rFonts w:ascii="Arial" w:hAnsi="Arial" w:cs="Arial"/>
                <w:color w:val="000000"/>
                <w:sz w:val="22"/>
                <w:szCs w:val="22"/>
              </w:rPr>
              <w:t>Σύνολο υποχρεώσεων</w:t>
            </w:r>
          </w:p>
        </w:tc>
        <w:tc>
          <w:tcPr>
            <w:tcW w:w="1642" w:type="dxa"/>
            <w:tcBorders>
              <w:top w:val="nil"/>
              <w:left w:val="nil"/>
              <w:bottom w:val="single" w:sz="8" w:space="0" w:color="auto"/>
              <w:right w:val="single" w:sz="8" w:space="0" w:color="auto"/>
            </w:tcBorders>
            <w:shd w:val="clear" w:color="auto" w:fill="auto"/>
            <w:noWrap/>
            <w:vAlign w:val="bottom"/>
            <w:hideMark/>
          </w:tcPr>
          <w:p w:rsidR="00C642E4" w:rsidRDefault="00C642E4">
            <w:pPr>
              <w:jc w:val="right"/>
              <w:rPr>
                <w:rFonts w:ascii="Arial" w:hAnsi="Arial" w:cs="Arial"/>
                <w:color w:val="000000"/>
                <w:sz w:val="22"/>
                <w:szCs w:val="22"/>
              </w:rPr>
            </w:pPr>
            <w:r>
              <w:rPr>
                <w:rFonts w:ascii="Arial" w:hAnsi="Arial" w:cs="Arial"/>
                <w:color w:val="000000"/>
                <w:sz w:val="22"/>
                <w:szCs w:val="22"/>
              </w:rPr>
              <w:t>212.747,82</w:t>
            </w:r>
          </w:p>
        </w:tc>
        <w:tc>
          <w:tcPr>
            <w:tcW w:w="1097" w:type="dxa"/>
            <w:vMerge w:val="restart"/>
            <w:tcBorders>
              <w:top w:val="nil"/>
              <w:left w:val="single" w:sz="8" w:space="0" w:color="auto"/>
              <w:bottom w:val="nil"/>
              <w:right w:val="single" w:sz="8" w:space="0" w:color="auto"/>
            </w:tcBorders>
            <w:shd w:val="clear" w:color="auto" w:fill="auto"/>
            <w:noWrap/>
            <w:vAlign w:val="center"/>
            <w:hideMark/>
          </w:tcPr>
          <w:p w:rsidR="00C642E4" w:rsidRDefault="00C642E4">
            <w:pPr>
              <w:jc w:val="right"/>
              <w:rPr>
                <w:rFonts w:ascii="Arial" w:hAnsi="Arial" w:cs="Arial"/>
                <w:color w:val="000000"/>
                <w:sz w:val="22"/>
                <w:szCs w:val="22"/>
              </w:rPr>
            </w:pPr>
            <w:r>
              <w:rPr>
                <w:rFonts w:ascii="Arial" w:hAnsi="Arial" w:cs="Arial"/>
                <w:color w:val="000000"/>
                <w:sz w:val="22"/>
                <w:szCs w:val="22"/>
              </w:rPr>
              <w:t>33,66%</w:t>
            </w:r>
          </w:p>
        </w:tc>
        <w:tc>
          <w:tcPr>
            <w:tcW w:w="1654" w:type="dxa"/>
            <w:tcBorders>
              <w:top w:val="nil"/>
              <w:left w:val="nil"/>
              <w:bottom w:val="single" w:sz="8" w:space="0" w:color="auto"/>
              <w:right w:val="single" w:sz="8" w:space="0" w:color="auto"/>
            </w:tcBorders>
            <w:shd w:val="clear" w:color="auto" w:fill="auto"/>
            <w:noWrap/>
            <w:vAlign w:val="bottom"/>
            <w:hideMark/>
          </w:tcPr>
          <w:p w:rsidR="00C642E4" w:rsidRDefault="00C642E4">
            <w:pPr>
              <w:jc w:val="right"/>
              <w:rPr>
                <w:rFonts w:ascii="Arial" w:hAnsi="Arial" w:cs="Arial"/>
                <w:color w:val="000000"/>
                <w:sz w:val="22"/>
                <w:szCs w:val="22"/>
              </w:rPr>
            </w:pPr>
            <w:r>
              <w:rPr>
                <w:rFonts w:ascii="Arial" w:hAnsi="Arial" w:cs="Arial"/>
                <w:color w:val="000000"/>
                <w:sz w:val="22"/>
                <w:szCs w:val="22"/>
              </w:rPr>
              <w:t>222.871,96</w:t>
            </w:r>
          </w:p>
        </w:tc>
        <w:tc>
          <w:tcPr>
            <w:tcW w:w="1097" w:type="dxa"/>
            <w:vMerge w:val="restart"/>
            <w:tcBorders>
              <w:top w:val="nil"/>
              <w:left w:val="single" w:sz="8" w:space="0" w:color="auto"/>
              <w:bottom w:val="nil"/>
              <w:right w:val="single" w:sz="8" w:space="0" w:color="auto"/>
            </w:tcBorders>
            <w:shd w:val="clear" w:color="auto" w:fill="auto"/>
            <w:noWrap/>
            <w:vAlign w:val="center"/>
            <w:hideMark/>
          </w:tcPr>
          <w:p w:rsidR="00C642E4" w:rsidRDefault="00C642E4">
            <w:pPr>
              <w:jc w:val="right"/>
              <w:rPr>
                <w:rFonts w:ascii="Arial" w:hAnsi="Arial" w:cs="Arial"/>
                <w:color w:val="000000"/>
                <w:sz w:val="22"/>
                <w:szCs w:val="22"/>
              </w:rPr>
            </w:pPr>
            <w:r>
              <w:rPr>
                <w:rFonts w:ascii="Arial" w:hAnsi="Arial" w:cs="Arial"/>
                <w:color w:val="000000"/>
                <w:sz w:val="22"/>
                <w:szCs w:val="22"/>
              </w:rPr>
              <w:t>35,43%</w:t>
            </w:r>
          </w:p>
        </w:tc>
      </w:tr>
      <w:tr w:rsidR="00C642E4" w:rsidTr="00C642E4">
        <w:trPr>
          <w:trHeight w:val="300"/>
        </w:trPr>
        <w:tc>
          <w:tcPr>
            <w:tcW w:w="3790" w:type="dxa"/>
            <w:tcBorders>
              <w:top w:val="nil"/>
              <w:left w:val="nil"/>
              <w:bottom w:val="nil"/>
              <w:right w:val="single" w:sz="8" w:space="0" w:color="auto"/>
            </w:tcBorders>
            <w:shd w:val="clear" w:color="auto" w:fill="auto"/>
            <w:noWrap/>
            <w:vAlign w:val="bottom"/>
            <w:hideMark/>
          </w:tcPr>
          <w:p w:rsidR="00C642E4" w:rsidRDefault="00C642E4">
            <w:pPr>
              <w:jc w:val="center"/>
              <w:rPr>
                <w:rFonts w:ascii="Arial" w:hAnsi="Arial" w:cs="Arial"/>
                <w:color w:val="000000"/>
                <w:sz w:val="22"/>
                <w:szCs w:val="22"/>
              </w:rPr>
            </w:pPr>
            <w:r>
              <w:rPr>
                <w:rFonts w:ascii="Arial" w:hAnsi="Arial" w:cs="Arial"/>
                <w:color w:val="000000"/>
                <w:sz w:val="22"/>
                <w:szCs w:val="22"/>
              </w:rPr>
              <w:t>Σύνολο παθητικού</w:t>
            </w:r>
          </w:p>
        </w:tc>
        <w:tc>
          <w:tcPr>
            <w:tcW w:w="1642" w:type="dxa"/>
            <w:tcBorders>
              <w:top w:val="nil"/>
              <w:left w:val="nil"/>
              <w:bottom w:val="nil"/>
              <w:right w:val="single" w:sz="8" w:space="0" w:color="auto"/>
            </w:tcBorders>
            <w:shd w:val="clear" w:color="auto" w:fill="auto"/>
            <w:noWrap/>
            <w:vAlign w:val="bottom"/>
            <w:hideMark/>
          </w:tcPr>
          <w:p w:rsidR="00C642E4" w:rsidRDefault="00C642E4">
            <w:pPr>
              <w:jc w:val="right"/>
              <w:rPr>
                <w:rFonts w:ascii="Arial" w:hAnsi="Arial" w:cs="Arial"/>
                <w:color w:val="000000"/>
                <w:sz w:val="22"/>
                <w:szCs w:val="22"/>
              </w:rPr>
            </w:pPr>
            <w:r>
              <w:rPr>
                <w:rFonts w:ascii="Arial" w:hAnsi="Arial" w:cs="Arial"/>
                <w:color w:val="000000"/>
                <w:sz w:val="22"/>
                <w:szCs w:val="22"/>
              </w:rPr>
              <w:t>632.099,39</w:t>
            </w:r>
          </w:p>
        </w:tc>
        <w:tc>
          <w:tcPr>
            <w:tcW w:w="1097" w:type="dxa"/>
            <w:vMerge/>
            <w:tcBorders>
              <w:top w:val="nil"/>
              <w:left w:val="single" w:sz="8" w:space="0" w:color="auto"/>
              <w:bottom w:val="nil"/>
              <w:right w:val="single" w:sz="8" w:space="0" w:color="auto"/>
            </w:tcBorders>
            <w:vAlign w:val="center"/>
            <w:hideMark/>
          </w:tcPr>
          <w:p w:rsidR="00C642E4" w:rsidRDefault="00C642E4">
            <w:pPr>
              <w:rPr>
                <w:rFonts w:ascii="Arial" w:hAnsi="Arial" w:cs="Arial"/>
                <w:color w:val="000000"/>
                <w:sz w:val="22"/>
                <w:szCs w:val="22"/>
              </w:rPr>
            </w:pPr>
          </w:p>
        </w:tc>
        <w:tc>
          <w:tcPr>
            <w:tcW w:w="1654" w:type="dxa"/>
            <w:tcBorders>
              <w:top w:val="nil"/>
              <w:left w:val="nil"/>
              <w:bottom w:val="nil"/>
              <w:right w:val="single" w:sz="8" w:space="0" w:color="auto"/>
            </w:tcBorders>
            <w:shd w:val="clear" w:color="auto" w:fill="auto"/>
            <w:noWrap/>
            <w:vAlign w:val="bottom"/>
            <w:hideMark/>
          </w:tcPr>
          <w:p w:rsidR="00C642E4" w:rsidRDefault="00C642E4">
            <w:pPr>
              <w:jc w:val="right"/>
              <w:rPr>
                <w:rFonts w:ascii="Arial" w:hAnsi="Arial" w:cs="Arial"/>
                <w:color w:val="000000"/>
                <w:sz w:val="22"/>
                <w:szCs w:val="22"/>
              </w:rPr>
            </w:pPr>
            <w:r>
              <w:rPr>
                <w:rFonts w:ascii="Arial" w:hAnsi="Arial" w:cs="Arial"/>
                <w:color w:val="000000"/>
                <w:sz w:val="22"/>
                <w:szCs w:val="22"/>
              </w:rPr>
              <w:t>629.024,78</w:t>
            </w:r>
          </w:p>
        </w:tc>
        <w:tc>
          <w:tcPr>
            <w:tcW w:w="1097" w:type="dxa"/>
            <w:vMerge/>
            <w:tcBorders>
              <w:top w:val="nil"/>
              <w:left w:val="single" w:sz="8" w:space="0" w:color="auto"/>
              <w:bottom w:val="nil"/>
              <w:right w:val="single" w:sz="8" w:space="0" w:color="auto"/>
            </w:tcBorders>
            <w:vAlign w:val="center"/>
            <w:hideMark/>
          </w:tcPr>
          <w:p w:rsidR="00C642E4" w:rsidRDefault="00C642E4">
            <w:pPr>
              <w:rPr>
                <w:rFonts w:ascii="Arial" w:hAnsi="Arial" w:cs="Arial"/>
                <w:color w:val="000000"/>
                <w:sz w:val="22"/>
                <w:szCs w:val="22"/>
              </w:rPr>
            </w:pPr>
          </w:p>
        </w:tc>
      </w:tr>
      <w:tr w:rsidR="00C642E4" w:rsidTr="00C642E4">
        <w:trPr>
          <w:trHeight w:val="300"/>
        </w:trPr>
        <w:tc>
          <w:tcPr>
            <w:tcW w:w="3790" w:type="dxa"/>
            <w:tcBorders>
              <w:top w:val="nil"/>
              <w:left w:val="nil"/>
              <w:bottom w:val="nil"/>
              <w:right w:val="nil"/>
            </w:tcBorders>
            <w:shd w:val="clear" w:color="auto" w:fill="auto"/>
            <w:noWrap/>
            <w:vAlign w:val="bottom"/>
            <w:hideMark/>
          </w:tcPr>
          <w:p w:rsidR="00C642E4" w:rsidRDefault="00C642E4">
            <w:pPr>
              <w:jc w:val="right"/>
              <w:rPr>
                <w:rFonts w:ascii="Arial" w:hAnsi="Arial" w:cs="Arial"/>
                <w:color w:val="000000"/>
                <w:sz w:val="22"/>
                <w:szCs w:val="22"/>
              </w:rPr>
            </w:pPr>
          </w:p>
        </w:tc>
        <w:tc>
          <w:tcPr>
            <w:tcW w:w="1642" w:type="dxa"/>
            <w:tcBorders>
              <w:top w:val="nil"/>
              <w:left w:val="nil"/>
              <w:bottom w:val="nil"/>
              <w:right w:val="nil"/>
            </w:tcBorders>
            <w:shd w:val="clear" w:color="auto" w:fill="auto"/>
            <w:noWrap/>
            <w:vAlign w:val="bottom"/>
            <w:hideMark/>
          </w:tcPr>
          <w:p w:rsidR="00C642E4" w:rsidRDefault="00C642E4">
            <w:pPr>
              <w:rPr>
                <w:sz w:val="20"/>
                <w:szCs w:val="20"/>
              </w:rPr>
            </w:pPr>
          </w:p>
        </w:tc>
        <w:tc>
          <w:tcPr>
            <w:tcW w:w="1097" w:type="dxa"/>
            <w:tcBorders>
              <w:top w:val="nil"/>
              <w:left w:val="nil"/>
              <w:bottom w:val="nil"/>
              <w:right w:val="nil"/>
            </w:tcBorders>
            <w:shd w:val="clear" w:color="auto" w:fill="auto"/>
            <w:noWrap/>
            <w:vAlign w:val="bottom"/>
            <w:hideMark/>
          </w:tcPr>
          <w:p w:rsidR="00C642E4" w:rsidRDefault="00C642E4">
            <w:pPr>
              <w:rPr>
                <w:sz w:val="20"/>
                <w:szCs w:val="20"/>
              </w:rPr>
            </w:pPr>
          </w:p>
        </w:tc>
        <w:tc>
          <w:tcPr>
            <w:tcW w:w="1654" w:type="dxa"/>
            <w:tcBorders>
              <w:top w:val="nil"/>
              <w:left w:val="nil"/>
              <w:bottom w:val="nil"/>
              <w:right w:val="nil"/>
            </w:tcBorders>
            <w:shd w:val="clear" w:color="auto" w:fill="auto"/>
            <w:noWrap/>
            <w:vAlign w:val="bottom"/>
            <w:hideMark/>
          </w:tcPr>
          <w:p w:rsidR="00C642E4" w:rsidRDefault="00C642E4">
            <w:pPr>
              <w:rPr>
                <w:sz w:val="20"/>
                <w:szCs w:val="20"/>
              </w:rPr>
            </w:pPr>
          </w:p>
        </w:tc>
        <w:tc>
          <w:tcPr>
            <w:tcW w:w="1097" w:type="dxa"/>
            <w:tcBorders>
              <w:top w:val="nil"/>
              <w:left w:val="nil"/>
              <w:bottom w:val="nil"/>
              <w:right w:val="nil"/>
            </w:tcBorders>
            <w:shd w:val="clear" w:color="auto" w:fill="auto"/>
            <w:noWrap/>
            <w:vAlign w:val="bottom"/>
            <w:hideMark/>
          </w:tcPr>
          <w:p w:rsidR="00C642E4" w:rsidRDefault="00C642E4">
            <w:pPr>
              <w:rPr>
                <w:sz w:val="20"/>
                <w:szCs w:val="20"/>
              </w:rPr>
            </w:pPr>
          </w:p>
        </w:tc>
      </w:tr>
      <w:tr w:rsidR="00C642E4" w:rsidTr="00C642E4">
        <w:trPr>
          <w:trHeight w:val="315"/>
        </w:trPr>
        <w:tc>
          <w:tcPr>
            <w:tcW w:w="3790" w:type="dxa"/>
            <w:tcBorders>
              <w:top w:val="nil"/>
              <w:left w:val="nil"/>
              <w:bottom w:val="single" w:sz="8" w:space="0" w:color="auto"/>
              <w:right w:val="single" w:sz="8" w:space="0" w:color="auto"/>
            </w:tcBorders>
            <w:shd w:val="clear" w:color="auto" w:fill="auto"/>
            <w:noWrap/>
            <w:vAlign w:val="bottom"/>
            <w:hideMark/>
          </w:tcPr>
          <w:p w:rsidR="00C642E4" w:rsidRDefault="00C642E4">
            <w:pPr>
              <w:jc w:val="center"/>
              <w:rPr>
                <w:rFonts w:ascii="Arial" w:hAnsi="Arial" w:cs="Arial"/>
                <w:color w:val="000000"/>
                <w:sz w:val="22"/>
                <w:szCs w:val="22"/>
              </w:rPr>
            </w:pPr>
            <w:r>
              <w:rPr>
                <w:rFonts w:ascii="Arial" w:hAnsi="Arial" w:cs="Arial"/>
                <w:color w:val="000000"/>
                <w:sz w:val="22"/>
                <w:szCs w:val="22"/>
              </w:rPr>
              <w:t>Καθαρή θέση</w:t>
            </w:r>
          </w:p>
        </w:tc>
        <w:tc>
          <w:tcPr>
            <w:tcW w:w="1642" w:type="dxa"/>
            <w:tcBorders>
              <w:top w:val="nil"/>
              <w:left w:val="nil"/>
              <w:bottom w:val="single" w:sz="8" w:space="0" w:color="auto"/>
              <w:right w:val="single" w:sz="8" w:space="0" w:color="auto"/>
            </w:tcBorders>
            <w:shd w:val="clear" w:color="auto" w:fill="auto"/>
            <w:noWrap/>
            <w:vAlign w:val="bottom"/>
            <w:hideMark/>
          </w:tcPr>
          <w:p w:rsidR="00C642E4" w:rsidRDefault="00C642E4">
            <w:pPr>
              <w:jc w:val="right"/>
              <w:rPr>
                <w:rFonts w:ascii="Arial" w:hAnsi="Arial" w:cs="Arial"/>
                <w:color w:val="000000"/>
                <w:sz w:val="22"/>
                <w:szCs w:val="22"/>
              </w:rPr>
            </w:pPr>
            <w:r>
              <w:rPr>
                <w:rFonts w:ascii="Arial" w:hAnsi="Arial" w:cs="Arial"/>
                <w:color w:val="000000"/>
                <w:sz w:val="22"/>
                <w:szCs w:val="22"/>
              </w:rPr>
              <w:t>339.576,83</w:t>
            </w:r>
          </w:p>
        </w:tc>
        <w:tc>
          <w:tcPr>
            <w:tcW w:w="1097" w:type="dxa"/>
            <w:vMerge w:val="restart"/>
            <w:tcBorders>
              <w:top w:val="nil"/>
              <w:left w:val="single" w:sz="8" w:space="0" w:color="auto"/>
              <w:bottom w:val="nil"/>
              <w:right w:val="single" w:sz="8" w:space="0" w:color="auto"/>
            </w:tcBorders>
            <w:shd w:val="clear" w:color="auto" w:fill="auto"/>
            <w:noWrap/>
            <w:vAlign w:val="center"/>
            <w:hideMark/>
          </w:tcPr>
          <w:p w:rsidR="00C642E4" w:rsidRDefault="00C642E4">
            <w:pPr>
              <w:jc w:val="right"/>
              <w:rPr>
                <w:rFonts w:ascii="Arial" w:hAnsi="Arial" w:cs="Arial"/>
                <w:color w:val="000000"/>
                <w:sz w:val="22"/>
                <w:szCs w:val="22"/>
              </w:rPr>
            </w:pPr>
            <w:r>
              <w:rPr>
                <w:rFonts w:ascii="Arial" w:hAnsi="Arial" w:cs="Arial"/>
                <w:color w:val="000000"/>
                <w:sz w:val="22"/>
                <w:szCs w:val="22"/>
              </w:rPr>
              <w:t>53,72%</w:t>
            </w:r>
          </w:p>
        </w:tc>
        <w:tc>
          <w:tcPr>
            <w:tcW w:w="1654" w:type="dxa"/>
            <w:tcBorders>
              <w:top w:val="nil"/>
              <w:left w:val="nil"/>
              <w:bottom w:val="single" w:sz="8" w:space="0" w:color="auto"/>
              <w:right w:val="single" w:sz="8" w:space="0" w:color="auto"/>
            </w:tcBorders>
            <w:shd w:val="clear" w:color="auto" w:fill="auto"/>
            <w:noWrap/>
            <w:vAlign w:val="bottom"/>
            <w:hideMark/>
          </w:tcPr>
          <w:p w:rsidR="00C642E4" w:rsidRDefault="00C642E4">
            <w:pPr>
              <w:jc w:val="right"/>
              <w:rPr>
                <w:rFonts w:ascii="Arial" w:hAnsi="Arial" w:cs="Arial"/>
                <w:color w:val="000000"/>
                <w:sz w:val="22"/>
                <w:szCs w:val="22"/>
              </w:rPr>
            </w:pPr>
            <w:r>
              <w:rPr>
                <w:rFonts w:ascii="Arial" w:hAnsi="Arial" w:cs="Arial"/>
                <w:color w:val="000000"/>
                <w:sz w:val="22"/>
                <w:szCs w:val="22"/>
              </w:rPr>
              <w:t>326.378,08</w:t>
            </w:r>
          </w:p>
        </w:tc>
        <w:tc>
          <w:tcPr>
            <w:tcW w:w="1097" w:type="dxa"/>
            <w:vMerge w:val="restart"/>
            <w:tcBorders>
              <w:top w:val="nil"/>
              <w:left w:val="single" w:sz="8" w:space="0" w:color="auto"/>
              <w:bottom w:val="nil"/>
              <w:right w:val="single" w:sz="8" w:space="0" w:color="auto"/>
            </w:tcBorders>
            <w:shd w:val="clear" w:color="auto" w:fill="auto"/>
            <w:noWrap/>
            <w:vAlign w:val="center"/>
            <w:hideMark/>
          </w:tcPr>
          <w:p w:rsidR="00C642E4" w:rsidRDefault="00C642E4">
            <w:pPr>
              <w:jc w:val="right"/>
              <w:rPr>
                <w:rFonts w:ascii="Arial" w:hAnsi="Arial" w:cs="Arial"/>
                <w:color w:val="000000"/>
                <w:sz w:val="22"/>
                <w:szCs w:val="22"/>
              </w:rPr>
            </w:pPr>
            <w:r>
              <w:rPr>
                <w:rFonts w:ascii="Arial" w:hAnsi="Arial" w:cs="Arial"/>
                <w:color w:val="000000"/>
                <w:sz w:val="22"/>
                <w:szCs w:val="22"/>
              </w:rPr>
              <w:t>51,89%</w:t>
            </w:r>
          </w:p>
        </w:tc>
      </w:tr>
      <w:tr w:rsidR="00C642E4" w:rsidTr="00C642E4">
        <w:trPr>
          <w:trHeight w:val="300"/>
        </w:trPr>
        <w:tc>
          <w:tcPr>
            <w:tcW w:w="3790" w:type="dxa"/>
            <w:tcBorders>
              <w:top w:val="nil"/>
              <w:left w:val="nil"/>
              <w:bottom w:val="nil"/>
              <w:right w:val="single" w:sz="8" w:space="0" w:color="auto"/>
            </w:tcBorders>
            <w:shd w:val="clear" w:color="auto" w:fill="auto"/>
            <w:noWrap/>
            <w:vAlign w:val="bottom"/>
            <w:hideMark/>
          </w:tcPr>
          <w:p w:rsidR="00C642E4" w:rsidRDefault="00C642E4">
            <w:pPr>
              <w:jc w:val="center"/>
              <w:rPr>
                <w:rFonts w:ascii="Arial" w:hAnsi="Arial" w:cs="Arial"/>
                <w:color w:val="000000"/>
                <w:sz w:val="22"/>
                <w:szCs w:val="22"/>
              </w:rPr>
            </w:pPr>
            <w:r>
              <w:rPr>
                <w:rFonts w:ascii="Arial" w:hAnsi="Arial" w:cs="Arial"/>
                <w:color w:val="000000"/>
                <w:sz w:val="22"/>
                <w:szCs w:val="22"/>
              </w:rPr>
              <w:t>Σύνολο παθητικού</w:t>
            </w:r>
          </w:p>
        </w:tc>
        <w:tc>
          <w:tcPr>
            <w:tcW w:w="1642" w:type="dxa"/>
            <w:tcBorders>
              <w:top w:val="nil"/>
              <w:left w:val="nil"/>
              <w:bottom w:val="nil"/>
              <w:right w:val="single" w:sz="8" w:space="0" w:color="auto"/>
            </w:tcBorders>
            <w:shd w:val="clear" w:color="auto" w:fill="auto"/>
            <w:noWrap/>
            <w:vAlign w:val="bottom"/>
            <w:hideMark/>
          </w:tcPr>
          <w:p w:rsidR="00C642E4" w:rsidRDefault="00C642E4">
            <w:pPr>
              <w:jc w:val="right"/>
              <w:rPr>
                <w:rFonts w:ascii="Arial" w:hAnsi="Arial" w:cs="Arial"/>
                <w:color w:val="000000"/>
                <w:sz w:val="22"/>
                <w:szCs w:val="22"/>
              </w:rPr>
            </w:pPr>
            <w:r>
              <w:rPr>
                <w:rFonts w:ascii="Arial" w:hAnsi="Arial" w:cs="Arial"/>
                <w:color w:val="000000"/>
                <w:sz w:val="22"/>
                <w:szCs w:val="22"/>
              </w:rPr>
              <w:t>632.099,39</w:t>
            </w:r>
          </w:p>
        </w:tc>
        <w:tc>
          <w:tcPr>
            <w:tcW w:w="1097" w:type="dxa"/>
            <w:vMerge/>
            <w:tcBorders>
              <w:top w:val="nil"/>
              <w:left w:val="single" w:sz="8" w:space="0" w:color="auto"/>
              <w:bottom w:val="nil"/>
              <w:right w:val="single" w:sz="8" w:space="0" w:color="auto"/>
            </w:tcBorders>
            <w:vAlign w:val="center"/>
            <w:hideMark/>
          </w:tcPr>
          <w:p w:rsidR="00C642E4" w:rsidRDefault="00C642E4">
            <w:pPr>
              <w:rPr>
                <w:rFonts w:ascii="Arial" w:hAnsi="Arial" w:cs="Arial"/>
                <w:color w:val="000000"/>
                <w:sz w:val="22"/>
                <w:szCs w:val="22"/>
              </w:rPr>
            </w:pPr>
          </w:p>
        </w:tc>
        <w:tc>
          <w:tcPr>
            <w:tcW w:w="1654" w:type="dxa"/>
            <w:tcBorders>
              <w:top w:val="nil"/>
              <w:left w:val="nil"/>
              <w:bottom w:val="nil"/>
              <w:right w:val="single" w:sz="8" w:space="0" w:color="auto"/>
            </w:tcBorders>
            <w:shd w:val="clear" w:color="auto" w:fill="auto"/>
            <w:noWrap/>
            <w:vAlign w:val="bottom"/>
            <w:hideMark/>
          </w:tcPr>
          <w:p w:rsidR="00C642E4" w:rsidRDefault="00C642E4">
            <w:pPr>
              <w:jc w:val="right"/>
              <w:rPr>
                <w:rFonts w:ascii="Arial" w:hAnsi="Arial" w:cs="Arial"/>
                <w:color w:val="000000"/>
                <w:sz w:val="22"/>
                <w:szCs w:val="22"/>
              </w:rPr>
            </w:pPr>
            <w:r>
              <w:rPr>
                <w:rFonts w:ascii="Arial" w:hAnsi="Arial" w:cs="Arial"/>
                <w:color w:val="000000"/>
                <w:sz w:val="22"/>
                <w:szCs w:val="22"/>
              </w:rPr>
              <w:t>629.024,78</w:t>
            </w:r>
          </w:p>
        </w:tc>
        <w:tc>
          <w:tcPr>
            <w:tcW w:w="1097" w:type="dxa"/>
            <w:vMerge/>
            <w:tcBorders>
              <w:top w:val="nil"/>
              <w:left w:val="single" w:sz="8" w:space="0" w:color="auto"/>
              <w:bottom w:val="nil"/>
              <w:right w:val="single" w:sz="8" w:space="0" w:color="auto"/>
            </w:tcBorders>
            <w:vAlign w:val="center"/>
            <w:hideMark/>
          </w:tcPr>
          <w:p w:rsidR="00C642E4" w:rsidRDefault="00C642E4">
            <w:pPr>
              <w:rPr>
                <w:rFonts w:ascii="Arial" w:hAnsi="Arial" w:cs="Arial"/>
                <w:color w:val="000000"/>
                <w:sz w:val="22"/>
                <w:szCs w:val="22"/>
              </w:rPr>
            </w:pPr>
          </w:p>
        </w:tc>
      </w:tr>
      <w:tr w:rsidR="00C642E4" w:rsidTr="00C642E4">
        <w:trPr>
          <w:trHeight w:val="300"/>
        </w:trPr>
        <w:tc>
          <w:tcPr>
            <w:tcW w:w="3790" w:type="dxa"/>
            <w:tcBorders>
              <w:top w:val="nil"/>
              <w:left w:val="nil"/>
              <w:bottom w:val="nil"/>
              <w:right w:val="nil"/>
            </w:tcBorders>
            <w:shd w:val="clear" w:color="auto" w:fill="auto"/>
            <w:noWrap/>
            <w:vAlign w:val="bottom"/>
            <w:hideMark/>
          </w:tcPr>
          <w:p w:rsidR="00C642E4" w:rsidRDefault="00C642E4">
            <w:pPr>
              <w:jc w:val="right"/>
              <w:rPr>
                <w:rFonts w:ascii="Arial" w:hAnsi="Arial" w:cs="Arial"/>
                <w:color w:val="000000"/>
                <w:sz w:val="22"/>
                <w:szCs w:val="22"/>
              </w:rPr>
            </w:pPr>
          </w:p>
        </w:tc>
        <w:tc>
          <w:tcPr>
            <w:tcW w:w="1642" w:type="dxa"/>
            <w:tcBorders>
              <w:top w:val="nil"/>
              <w:left w:val="nil"/>
              <w:bottom w:val="nil"/>
              <w:right w:val="nil"/>
            </w:tcBorders>
            <w:shd w:val="clear" w:color="auto" w:fill="auto"/>
            <w:noWrap/>
            <w:vAlign w:val="bottom"/>
            <w:hideMark/>
          </w:tcPr>
          <w:p w:rsidR="00C642E4" w:rsidRDefault="00C642E4">
            <w:pPr>
              <w:rPr>
                <w:sz w:val="20"/>
                <w:szCs w:val="20"/>
              </w:rPr>
            </w:pPr>
          </w:p>
        </w:tc>
        <w:tc>
          <w:tcPr>
            <w:tcW w:w="1097" w:type="dxa"/>
            <w:tcBorders>
              <w:top w:val="nil"/>
              <w:left w:val="nil"/>
              <w:bottom w:val="nil"/>
              <w:right w:val="nil"/>
            </w:tcBorders>
            <w:shd w:val="clear" w:color="auto" w:fill="auto"/>
            <w:noWrap/>
            <w:vAlign w:val="bottom"/>
            <w:hideMark/>
          </w:tcPr>
          <w:p w:rsidR="00C642E4" w:rsidRDefault="00C642E4">
            <w:pPr>
              <w:rPr>
                <w:sz w:val="20"/>
                <w:szCs w:val="20"/>
              </w:rPr>
            </w:pPr>
          </w:p>
        </w:tc>
        <w:tc>
          <w:tcPr>
            <w:tcW w:w="1654" w:type="dxa"/>
            <w:tcBorders>
              <w:top w:val="nil"/>
              <w:left w:val="nil"/>
              <w:bottom w:val="nil"/>
              <w:right w:val="nil"/>
            </w:tcBorders>
            <w:shd w:val="clear" w:color="auto" w:fill="auto"/>
            <w:noWrap/>
            <w:vAlign w:val="bottom"/>
            <w:hideMark/>
          </w:tcPr>
          <w:p w:rsidR="00C642E4" w:rsidRDefault="00C642E4">
            <w:pPr>
              <w:rPr>
                <w:sz w:val="20"/>
                <w:szCs w:val="20"/>
              </w:rPr>
            </w:pPr>
          </w:p>
        </w:tc>
        <w:tc>
          <w:tcPr>
            <w:tcW w:w="1097" w:type="dxa"/>
            <w:tcBorders>
              <w:top w:val="nil"/>
              <w:left w:val="nil"/>
              <w:bottom w:val="nil"/>
              <w:right w:val="nil"/>
            </w:tcBorders>
            <w:shd w:val="clear" w:color="auto" w:fill="auto"/>
            <w:noWrap/>
            <w:vAlign w:val="bottom"/>
            <w:hideMark/>
          </w:tcPr>
          <w:p w:rsidR="00C642E4" w:rsidRDefault="00C642E4">
            <w:pPr>
              <w:rPr>
                <w:sz w:val="20"/>
                <w:szCs w:val="20"/>
              </w:rPr>
            </w:pPr>
          </w:p>
        </w:tc>
      </w:tr>
      <w:tr w:rsidR="00C642E4" w:rsidTr="00C642E4">
        <w:trPr>
          <w:trHeight w:val="720"/>
        </w:trPr>
        <w:tc>
          <w:tcPr>
            <w:tcW w:w="9280" w:type="dxa"/>
            <w:gridSpan w:val="5"/>
            <w:tcBorders>
              <w:top w:val="nil"/>
              <w:left w:val="nil"/>
              <w:bottom w:val="nil"/>
              <w:right w:val="nil"/>
            </w:tcBorders>
            <w:shd w:val="clear" w:color="auto" w:fill="auto"/>
            <w:vAlign w:val="bottom"/>
            <w:hideMark/>
          </w:tcPr>
          <w:p w:rsidR="00C642E4" w:rsidRDefault="00C642E4">
            <w:pPr>
              <w:jc w:val="both"/>
              <w:rPr>
                <w:rFonts w:ascii="Arial" w:hAnsi="Arial" w:cs="Arial"/>
                <w:color w:val="000000"/>
                <w:sz w:val="22"/>
                <w:szCs w:val="22"/>
              </w:rPr>
            </w:pPr>
            <w:r>
              <w:rPr>
                <w:rFonts w:ascii="Arial" w:hAnsi="Arial" w:cs="Arial"/>
                <w:color w:val="000000"/>
                <w:sz w:val="22"/>
                <w:szCs w:val="22"/>
              </w:rPr>
              <w:t>Οι παραπάνω δείκτες  δείχνουν την δανειακή εξάρτηση της εταιρείας</w:t>
            </w:r>
          </w:p>
        </w:tc>
      </w:tr>
      <w:tr w:rsidR="00C642E4" w:rsidTr="00C642E4">
        <w:trPr>
          <w:trHeight w:val="300"/>
        </w:trPr>
        <w:tc>
          <w:tcPr>
            <w:tcW w:w="3790" w:type="dxa"/>
            <w:tcBorders>
              <w:top w:val="nil"/>
              <w:left w:val="nil"/>
              <w:bottom w:val="nil"/>
              <w:right w:val="nil"/>
            </w:tcBorders>
            <w:shd w:val="clear" w:color="auto" w:fill="auto"/>
            <w:noWrap/>
            <w:vAlign w:val="bottom"/>
            <w:hideMark/>
          </w:tcPr>
          <w:p w:rsidR="00C642E4" w:rsidRDefault="00C642E4">
            <w:pPr>
              <w:jc w:val="both"/>
              <w:rPr>
                <w:rFonts w:ascii="Arial" w:hAnsi="Arial" w:cs="Arial"/>
                <w:color w:val="000000"/>
                <w:sz w:val="22"/>
                <w:szCs w:val="22"/>
              </w:rPr>
            </w:pPr>
          </w:p>
        </w:tc>
        <w:tc>
          <w:tcPr>
            <w:tcW w:w="1642" w:type="dxa"/>
            <w:tcBorders>
              <w:top w:val="nil"/>
              <w:left w:val="nil"/>
              <w:bottom w:val="nil"/>
              <w:right w:val="nil"/>
            </w:tcBorders>
            <w:shd w:val="clear" w:color="auto" w:fill="auto"/>
            <w:noWrap/>
            <w:vAlign w:val="bottom"/>
            <w:hideMark/>
          </w:tcPr>
          <w:p w:rsidR="00C642E4" w:rsidRDefault="00C642E4">
            <w:pPr>
              <w:rPr>
                <w:sz w:val="20"/>
                <w:szCs w:val="20"/>
              </w:rPr>
            </w:pPr>
          </w:p>
        </w:tc>
        <w:tc>
          <w:tcPr>
            <w:tcW w:w="1097" w:type="dxa"/>
            <w:tcBorders>
              <w:top w:val="nil"/>
              <w:left w:val="nil"/>
              <w:bottom w:val="nil"/>
              <w:right w:val="nil"/>
            </w:tcBorders>
            <w:shd w:val="clear" w:color="auto" w:fill="auto"/>
            <w:noWrap/>
            <w:vAlign w:val="bottom"/>
            <w:hideMark/>
          </w:tcPr>
          <w:p w:rsidR="00C642E4" w:rsidRDefault="00C642E4">
            <w:pPr>
              <w:rPr>
                <w:sz w:val="20"/>
                <w:szCs w:val="20"/>
              </w:rPr>
            </w:pPr>
          </w:p>
        </w:tc>
        <w:tc>
          <w:tcPr>
            <w:tcW w:w="1654" w:type="dxa"/>
            <w:tcBorders>
              <w:top w:val="nil"/>
              <w:left w:val="nil"/>
              <w:bottom w:val="nil"/>
              <w:right w:val="nil"/>
            </w:tcBorders>
            <w:shd w:val="clear" w:color="auto" w:fill="auto"/>
            <w:noWrap/>
            <w:vAlign w:val="bottom"/>
            <w:hideMark/>
          </w:tcPr>
          <w:p w:rsidR="00C642E4" w:rsidRDefault="00C642E4">
            <w:pPr>
              <w:rPr>
                <w:sz w:val="20"/>
                <w:szCs w:val="20"/>
              </w:rPr>
            </w:pPr>
          </w:p>
        </w:tc>
        <w:tc>
          <w:tcPr>
            <w:tcW w:w="1097" w:type="dxa"/>
            <w:tcBorders>
              <w:top w:val="nil"/>
              <w:left w:val="nil"/>
              <w:bottom w:val="nil"/>
              <w:right w:val="nil"/>
            </w:tcBorders>
            <w:shd w:val="clear" w:color="auto" w:fill="auto"/>
            <w:noWrap/>
            <w:vAlign w:val="bottom"/>
            <w:hideMark/>
          </w:tcPr>
          <w:p w:rsidR="00C642E4" w:rsidRDefault="00C642E4">
            <w:pPr>
              <w:rPr>
                <w:sz w:val="20"/>
                <w:szCs w:val="20"/>
              </w:rPr>
            </w:pPr>
          </w:p>
        </w:tc>
      </w:tr>
      <w:tr w:rsidR="00C642E4" w:rsidTr="00C642E4">
        <w:trPr>
          <w:trHeight w:val="315"/>
        </w:trPr>
        <w:tc>
          <w:tcPr>
            <w:tcW w:w="3790" w:type="dxa"/>
            <w:tcBorders>
              <w:top w:val="nil"/>
              <w:left w:val="nil"/>
              <w:bottom w:val="single" w:sz="8" w:space="0" w:color="auto"/>
              <w:right w:val="single" w:sz="8" w:space="0" w:color="auto"/>
            </w:tcBorders>
            <w:shd w:val="clear" w:color="auto" w:fill="auto"/>
            <w:noWrap/>
            <w:vAlign w:val="bottom"/>
            <w:hideMark/>
          </w:tcPr>
          <w:p w:rsidR="00C642E4" w:rsidRDefault="00C642E4">
            <w:pPr>
              <w:jc w:val="center"/>
              <w:rPr>
                <w:rFonts w:ascii="Arial" w:hAnsi="Arial" w:cs="Arial"/>
                <w:color w:val="000000"/>
                <w:sz w:val="22"/>
                <w:szCs w:val="22"/>
              </w:rPr>
            </w:pPr>
            <w:r>
              <w:rPr>
                <w:rFonts w:ascii="Arial" w:hAnsi="Arial" w:cs="Arial"/>
                <w:color w:val="000000"/>
                <w:sz w:val="22"/>
                <w:szCs w:val="22"/>
              </w:rPr>
              <w:t>Καθαρή θέση</w:t>
            </w:r>
          </w:p>
        </w:tc>
        <w:tc>
          <w:tcPr>
            <w:tcW w:w="1642" w:type="dxa"/>
            <w:tcBorders>
              <w:top w:val="nil"/>
              <w:left w:val="nil"/>
              <w:bottom w:val="single" w:sz="8" w:space="0" w:color="auto"/>
              <w:right w:val="single" w:sz="8" w:space="0" w:color="auto"/>
            </w:tcBorders>
            <w:shd w:val="clear" w:color="auto" w:fill="auto"/>
            <w:noWrap/>
            <w:vAlign w:val="bottom"/>
            <w:hideMark/>
          </w:tcPr>
          <w:p w:rsidR="00C642E4" w:rsidRDefault="00C642E4">
            <w:pPr>
              <w:jc w:val="right"/>
              <w:rPr>
                <w:rFonts w:ascii="Arial" w:hAnsi="Arial" w:cs="Arial"/>
                <w:color w:val="000000"/>
                <w:sz w:val="22"/>
                <w:szCs w:val="22"/>
              </w:rPr>
            </w:pPr>
            <w:r>
              <w:rPr>
                <w:rFonts w:ascii="Arial" w:hAnsi="Arial" w:cs="Arial"/>
                <w:color w:val="000000"/>
                <w:sz w:val="22"/>
                <w:szCs w:val="22"/>
              </w:rPr>
              <w:t>339.576,83</w:t>
            </w:r>
          </w:p>
        </w:tc>
        <w:tc>
          <w:tcPr>
            <w:tcW w:w="1097" w:type="dxa"/>
            <w:vMerge w:val="restart"/>
            <w:tcBorders>
              <w:top w:val="nil"/>
              <w:left w:val="single" w:sz="8" w:space="0" w:color="auto"/>
              <w:bottom w:val="nil"/>
              <w:right w:val="single" w:sz="8" w:space="0" w:color="auto"/>
            </w:tcBorders>
            <w:shd w:val="clear" w:color="auto" w:fill="auto"/>
            <w:noWrap/>
            <w:vAlign w:val="center"/>
            <w:hideMark/>
          </w:tcPr>
          <w:p w:rsidR="00C642E4" w:rsidRDefault="00C642E4">
            <w:pPr>
              <w:jc w:val="right"/>
              <w:rPr>
                <w:rFonts w:ascii="Arial" w:hAnsi="Arial" w:cs="Arial"/>
                <w:color w:val="000000"/>
                <w:sz w:val="22"/>
                <w:szCs w:val="22"/>
              </w:rPr>
            </w:pPr>
            <w:r>
              <w:rPr>
                <w:rFonts w:ascii="Arial" w:hAnsi="Arial" w:cs="Arial"/>
                <w:color w:val="000000"/>
                <w:sz w:val="22"/>
                <w:szCs w:val="22"/>
              </w:rPr>
              <w:t>110,78%</w:t>
            </w:r>
          </w:p>
        </w:tc>
        <w:tc>
          <w:tcPr>
            <w:tcW w:w="1654" w:type="dxa"/>
            <w:tcBorders>
              <w:top w:val="nil"/>
              <w:left w:val="nil"/>
              <w:bottom w:val="single" w:sz="8" w:space="0" w:color="auto"/>
              <w:right w:val="single" w:sz="8" w:space="0" w:color="auto"/>
            </w:tcBorders>
            <w:shd w:val="clear" w:color="auto" w:fill="auto"/>
            <w:noWrap/>
            <w:vAlign w:val="bottom"/>
            <w:hideMark/>
          </w:tcPr>
          <w:p w:rsidR="00C642E4" w:rsidRDefault="00C642E4">
            <w:pPr>
              <w:jc w:val="right"/>
              <w:rPr>
                <w:rFonts w:ascii="Arial" w:hAnsi="Arial" w:cs="Arial"/>
                <w:color w:val="000000"/>
                <w:sz w:val="22"/>
                <w:szCs w:val="22"/>
              </w:rPr>
            </w:pPr>
            <w:r>
              <w:rPr>
                <w:rFonts w:ascii="Arial" w:hAnsi="Arial" w:cs="Arial"/>
                <w:color w:val="000000"/>
                <w:sz w:val="22"/>
                <w:szCs w:val="22"/>
              </w:rPr>
              <w:t>326.378,08</w:t>
            </w:r>
          </w:p>
        </w:tc>
        <w:tc>
          <w:tcPr>
            <w:tcW w:w="1097" w:type="dxa"/>
            <w:vMerge w:val="restart"/>
            <w:tcBorders>
              <w:top w:val="nil"/>
              <w:left w:val="single" w:sz="8" w:space="0" w:color="auto"/>
              <w:bottom w:val="nil"/>
              <w:right w:val="single" w:sz="8" w:space="0" w:color="auto"/>
            </w:tcBorders>
            <w:shd w:val="clear" w:color="auto" w:fill="auto"/>
            <w:noWrap/>
            <w:vAlign w:val="center"/>
            <w:hideMark/>
          </w:tcPr>
          <w:p w:rsidR="00C642E4" w:rsidRDefault="00C642E4">
            <w:pPr>
              <w:jc w:val="right"/>
              <w:rPr>
                <w:rFonts w:ascii="Arial" w:hAnsi="Arial" w:cs="Arial"/>
                <w:color w:val="000000"/>
                <w:sz w:val="22"/>
                <w:szCs w:val="22"/>
              </w:rPr>
            </w:pPr>
            <w:r>
              <w:rPr>
                <w:rFonts w:ascii="Arial" w:hAnsi="Arial" w:cs="Arial"/>
                <w:color w:val="000000"/>
                <w:sz w:val="22"/>
                <w:szCs w:val="22"/>
              </w:rPr>
              <w:t>98,29%</w:t>
            </w:r>
          </w:p>
        </w:tc>
      </w:tr>
      <w:tr w:rsidR="00C642E4" w:rsidTr="00C642E4">
        <w:trPr>
          <w:trHeight w:val="300"/>
        </w:trPr>
        <w:tc>
          <w:tcPr>
            <w:tcW w:w="3790" w:type="dxa"/>
            <w:tcBorders>
              <w:top w:val="nil"/>
              <w:left w:val="nil"/>
              <w:bottom w:val="nil"/>
              <w:right w:val="single" w:sz="8" w:space="0" w:color="auto"/>
            </w:tcBorders>
            <w:shd w:val="clear" w:color="auto" w:fill="auto"/>
            <w:noWrap/>
            <w:vAlign w:val="bottom"/>
            <w:hideMark/>
          </w:tcPr>
          <w:p w:rsidR="00C642E4" w:rsidRDefault="00C642E4">
            <w:pPr>
              <w:jc w:val="center"/>
              <w:rPr>
                <w:rFonts w:ascii="Arial" w:hAnsi="Arial" w:cs="Arial"/>
                <w:color w:val="000000"/>
                <w:sz w:val="22"/>
                <w:szCs w:val="22"/>
              </w:rPr>
            </w:pPr>
            <w:r>
              <w:rPr>
                <w:rFonts w:ascii="Arial" w:hAnsi="Arial" w:cs="Arial"/>
                <w:color w:val="000000"/>
                <w:sz w:val="22"/>
                <w:szCs w:val="22"/>
              </w:rPr>
              <w:t>Μη κυκλοφορούν ενεργητικό</w:t>
            </w:r>
          </w:p>
        </w:tc>
        <w:tc>
          <w:tcPr>
            <w:tcW w:w="1642" w:type="dxa"/>
            <w:tcBorders>
              <w:top w:val="nil"/>
              <w:left w:val="nil"/>
              <w:bottom w:val="nil"/>
              <w:right w:val="single" w:sz="8" w:space="0" w:color="auto"/>
            </w:tcBorders>
            <w:shd w:val="clear" w:color="auto" w:fill="auto"/>
            <w:noWrap/>
            <w:vAlign w:val="bottom"/>
            <w:hideMark/>
          </w:tcPr>
          <w:p w:rsidR="00C642E4" w:rsidRDefault="00C642E4">
            <w:pPr>
              <w:jc w:val="right"/>
              <w:rPr>
                <w:rFonts w:ascii="Arial" w:hAnsi="Arial" w:cs="Arial"/>
                <w:color w:val="000000"/>
                <w:sz w:val="22"/>
                <w:szCs w:val="22"/>
              </w:rPr>
            </w:pPr>
            <w:r>
              <w:rPr>
                <w:rFonts w:ascii="Arial" w:hAnsi="Arial" w:cs="Arial"/>
                <w:color w:val="000000"/>
                <w:sz w:val="22"/>
                <w:szCs w:val="22"/>
              </w:rPr>
              <w:t>306.545,46</w:t>
            </w:r>
          </w:p>
        </w:tc>
        <w:tc>
          <w:tcPr>
            <w:tcW w:w="1097" w:type="dxa"/>
            <w:vMerge/>
            <w:tcBorders>
              <w:top w:val="nil"/>
              <w:left w:val="single" w:sz="8" w:space="0" w:color="auto"/>
              <w:bottom w:val="nil"/>
              <w:right w:val="single" w:sz="8" w:space="0" w:color="auto"/>
            </w:tcBorders>
            <w:vAlign w:val="center"/>
            <w:hideMark/>
          </w:tcPr>
          <w:p w:rsidR="00C642E4" w:rsidRDefault="00C642E4">
            <w:pPr>
              <w:rPr>
                <w:rFonts w:ascii="Arial" w:hAnsi="Arial" w:cs="Arial"/>
                <w:color w:val="000000"/>
                <w:sz w:val="22"/>
                <w:szCs w:val="22"/>
              </w:rPr>
            </w:pPr>
          </w:p>
        </w:tc>
        <w:tc>
          <w:tcPr>
            <w:tcW w:w="1654" w:type="dxa"/>
            <w:tcBorders>
              <w:top w:val="nil"/>
              <w:left w:val="nil"/>
              <w:bottom w:val="nil"/>
              <w:right w:val="single" w:sz="8" w:space="0" w:color="auto"/>
            </w:tcBorders>
            <w:shd w:val="clear" w:color="auto" w:fill="auto"/>
            <w:noWrap/>
            <w:vAlign w:val="bottom"/>
            <w:hideMark/>
          </w:tcPr>
          <w:p w:rsidR="00C642E4" w:rsidRDefault="00C642E4">
            <w:pPr>
              <w:jc w:val="right"/>
              <w:rPr>
                <w:rFonts w:ascii="Arial" w:hAnsi="Arial" w:cs="Arial"/>
                <w:color w:val="000000"/>
                <w:sz w:val="22"/>
                <w:szCs w:val="22"/>
              </w:rPr>
            </w:pPr>
            <w:r>
              <w:rPr>
                <w:rFonts w:ascii="Arial" w:hAnsi="Arial" w:cs="Arial"/>
                <w:color w:val="000000"/>
                <w:sz w:val="22"/>
                <w:szCs w:val="22"/>
              </w:rPr>
              <w:t>332.041,84</w:t>
            </w:r>
          </w:p>
        </w:tc>
        <w:tc>
          <w:tcPr>
            <w:tcW w:w="1097" w:type="dxa"/>
            <w:vMerge/>
            <w:tcBorders>
              <w:top w:val="nil"/>
              <w:left w:val="single" w:sz="8" w:space="0" w:color="auto"/>
              <w:bottom w:val="nil"/>
              <w:right w:val="single" w:sz="8" w:space="0" w:color="auto"/>
            </w:tcBorders>
            <w:vAlign w:val="center"/>
            <w:hideMark/>
          </w:tcPr>
          <w:p w:rsidR="00C642E4" w:rsidRDefault="00C642E4">
            <w:pPr>
              <w:rPr>
                <w:rFonts w:ascii="Arial" w:hAnsi="Arial" w:cs="Arial"/>
                <w:color w:val="000000"/>
                <w:sz w:val="22"/>
                <w:szCs w:val="22"/>
              </w:rPr>
            </w:pPr>
          </w:p>
        </w:tc>
      </w:tr>
      <w:tr w:rsidR="00C642E4" w:rsidTr="00C642E4">
        <w:trPr>
          <w:trHeight w:val="300"/>
        </w:trPr>
        <w:tc>
          <w:tcPr>
            <w:tcW w:w="3790" w:type="dxa"/>
            <w:tcBorders>
              <w:top w:val="nil"/>
              <w:left w:val="nil"/>
              <w:bottom w:val="nil"/>
              <w:right w:val="nil"/>
            </w:tcBorders>
            <w:shd w:val="clear" w:color="auto" w:fill="auto"/>
            <w:noWrap/>
            <w:vAlign w:val="bottom"/>
            <w:hideMark/>
          </w:tcPr>
          <w:p w:rsidR="00C642E4" w:rsidRDefault="00C642E4">
            <w:pPr>
              <w:jc w:val="right"/>
              <w:rPr>
                <w:rFonts w:ascii="Arial" w:hAnsi="Arial" w:cs="Arial"/>
                <w:color w:val="000000"/>
                <w:sz w:val="22"/>
                <w:szCs w:val="22"/>
              </w:rPr>
            </w:pPr>
          </w:p>
        </w:tc>
        <w:tc>
          <w:tcPr>
            <w:tcW w:w="1642" w:type="dxa"/>
            <w:tcBorders>
              <w:top w:val="nil"/>
              <w:left w:val="nil"/>
              <w:bottom w:val="nil"/>
              <w:right w:val="nil"/>
            </w:tcBorders>
            <w:shd w:val="clear" w:color="auto" w:fill="auto"/>
            <w:noWrap/>
            <w:vAlign w:val="bottom"/>
            <w:hideMark/>
          </w:tcPr>
          <w:p w:rsidR="00C642E4" w:rsidRDefault="00C642E4">
            <w:pPr>
              <w:rPr>
                <w:sz w:val="20"/>
                <w:szCs w:val="20"/>
              </w:rPr>
            </w:pPr>
          </w:p>
        </w:tc>
        <w:tc>
          <w:tcPr>
            <w:tcW w:w="1097" w:type="dxa"/>
            <w:tcBorders>
              <w:top w:val="nil"/>
              <w:left w:val="nil"/>
              <w:bottom w:val="nil"/>
              <w:right w:val="nil"/>
            </w:tcBorders>
            <w:shd w:val="clear" w:color="auto" w:fill="auto"/>
            <w:noWrap/>
            <w:vAlign w:val="bottom"/>
            <w:hideMark/>
          </w:tcPr>
          <w:p w:rsidR="00C642E4" w:rsidRDefault="00C642E4">
            <w:pPr>
              <w:rPr>
                <w:sz w:val="20"/>
                <w:szCs w:val="20"/>
              </w:rPr>
            </w:pPr>
          </w:p>
        </w:tc>
        <w:tc>
          <w:tcPr>
            <w:tcW w:w="1654" w:type="dxa"/>
            <w:tcBorders>
              <w:top w:val="nil"/>
              <w:left w:val="nil"/>
              <w:bottom w:val="nil"/>
              <w:right w:val="nil"/>
            </w:tcBorders>
            <w:shd w:val="clear" w:color="auto" w:fill="auto"/>
            <w:noWrap/>
            <w:vAlign w:val="bottom"/>
            <w:hideMark/>
          </w:tcPr>
          <w:p w:rsidR="00C642E4" w:rsidRDefault="00C642E4">
            <w:pPr>
              <w:rPr>
                <w:sz w:val="20"/>
                <w:szCs w:val="20"/>
              </w:rPr>
            </w:pPr>
          </w:p>
        </w:tc>
        <w:tc>
          <w:tcPr>
            <w:tcW w:w="1097" w:type="dxa"/>
            <w:tcBorders>
              <w:top w:val="nil"/>
              <w:left w:val="nil"/>
              <w:bottom w:val="nil"/>
              <w:right w:val="nil"/>
            </w:tcBorders>
            <w:shd w:val="clear" w:color="auto" w:fill="auto"/>
            <w:noWrap/>
            <w:vAlign w:val="bottom"/>
            <w:hideMark/>
          </w:tcPr>
          <w:p w:rsidR="00C642E4" w:rsidRDefault="00C642E4">
            <w:pPr>
              <w:rPr>
                <w:sz w:val="20"/>
                <w:szCs w:val="20"/>
              </w:rPr>
            </w:pPr>
          </w:p>
        </w:tc>
      </w:tr>
      <w:tr w:rsidR="00C642E4" w:rsidTr="00C642E4">
        <w:trPr>
          <w:trHeight w:val="945"/>
        </w:trPr>
        <w:tc>
          <w:tcPr>
            <w:tcW w:w="9280" w:type="dxa"/>
            <w:gridSpan w:val="5"/>
            <w:tcBorders>
              <w:top w:val="nil"/>
              <w:left w:val="nil"/>
              <w:bottom w:val="nil"/>
              <w:right w:val="nil"/>
            </w:tcBorders>
            <w:shd w:val="clear" w:color="auto" w:fill="auto"/>
            <w:vAlign w:val="bottom"/>
            <w:hideMark/>
          </w:tcPr>
          <w:p w:rsidR="00C642E4" w:rsidRDefault="00C642E4">
            <w:pPr>
              <w:jc w:val="both"/>
              <w:rPr>
                <w:rFonts w:ascii="Arial" w:hAnsi="Arial" w:cs="Arial"/>
                <w:color w:val="000000"/>
                <w:sz w:val="22"/>
                <w:szCs w:val="22"/>
              </w:rPr>
            </w:pPr>
            <w:r>
              <w:rPr>
                <w:rFonts w:ascii="Arial" w:hAnsi="Arial" w:cs="Arial"/>
                <w:color w:val="000000"/>
                <w:sz w:val="22"/>
                <w:szCs w:val="22"/>
              </w:rPr>
              <w:t>Ο δείκτης αυτός δείχνει το βαθμό χρηματοδοτήσεως των ακινητοποιήσεων της εταιρείας από τα Ίδια Κεφάλαια.</w:t>
            </w:r>
          </w:p>
        </w:tc>
      </w:tr>
      <w:tr w:rsidR="00C642E4" w:rsidTr="00C642E4">
        <w:trPr>
          <w:trHeight w:val="300"/>
        </w:trPr>
        <w:tc>
          <w:tcPr>
            <w:tcW w:w="3790" w:type="dxa"/>
            <w:tcBorders>
              <w:top w:val="nil"/>
              <w:left w:val="nil"/>
              <w:bottom w:val="nil"/>
              <w:right w:val="nil"/>
            </w:tcBorders>
            <w:shd w:val="clear" w:color="auto" w:fill="auto"/>
            <w:noWrap/>
            <w:vAlign w:val="bottom"/>
            <w:hideMark/>
          </w:tcPr>
          <w:p w:rsidR="00C642E4" w:rsidRDefault="00C642E4">
            <w:pPr>
              <w:jc w:val="both"/>
              <w:rPr>
                <w:rFonts w:ascii="Arial" w:hAnsi="Arial" w:cs="Arial"/>
                <w:color w:val="000000"/>
                <w:sz w:val="22"/>
                <w:szCs w:val="22"/>
              </w:rPr>
            </w:pPr>
          </w:p>
        </w:tc>
        <w:tc>
          <w:tcPr>
            <w:tcW w:w="1642" w:type="dxa"/>
            <w:tcBorders>
              <w:top w:val="nil"/>
              <w:left w:val="nil"/>
              <w:bottom w:val="nil"/>
              <w:right w:val="nil"/>
            </w:tcBorders>
            <w:shd w:val="clear" w:color="auto" w:fill="auto"/>
            <w:noWrap/>
            <w:vAlign w:val="bottom"/>
            <w:hideMark/>
          </w:tcPr>
          <w:p w:rsidR="00C642E4" w:rsidRDefault="00C642E4">
            <w:pPr>
              <w:rPr>
                <w:sz w:val="20"/>
                <w:szCs w:val="20"/>
              </w:rPr>
            </w:pPr>
          </w:p>
        </w:tc>
        <w:tc>
          <w:tcPr>
            <w:tcW w:w="1097" w:type="dxa"/>
            <w:tcBorders>
              <w:top w:val="nil"/>
              <w:left w:val="nil"/>
              <w:bottom w:val="nil"/>
              <w:right w:val="nil"/>
            </w:tcBorders>
            <w:shd w:val="clear" w:color="auto" w:fill="auto"/>
            <w:noWrap/>
            <w:vAlign w:val="bottom"/>
            <w:hideMark/>
          </w:tcPr>
          <w:p w:rsidR="00C642E4" w:rsidRDefault="00C642E4">
            <w:pPr>
              <w:rPr>
                <w:sz w:val="20"/>
                <w:szCs w:val="20"/>
              </w:rPr>
            </w:pPr>
          </w:p>
        </w:tc>
        <w:tc>
          <w:tcPr>
            <w:tcW w:w="1654" w:type="dxa"/>
            <w:tcBorders>
              <w:top w:val="nil"/>
              <w:left w:val="nil"/>
              <w:bottom w:val="nil"/>
              <w:right w:val="nil"/>
            </w:tcBorders>
            <w:shd w:val="clear" w:color="auto" w:fill="auto"/>
            <w:noWrap/>
            <w:vAlign w:val="bottom"/>
            <w:hideMark/>
          </w:tcPr>
          <w:p w:rsidR="00C642E4" w:rsidRDefault="00C642E4">
            <w:pPr>
              <w:rPr>
                <w:sz w:val="20"/>
                <w:szCs w:val="20"/>
              </w:rPr>
            </w:pPr>
          </w:p>
        </w:tc>
        <w:tc>
          <w:tcPr>
            <w:tcW w:w="1097" w:type="dxa"/>
            <w:tcBorders>
              <w:top w:val="nil"/>
              <w:left w:val="nil"/>
              <w:bottom w:val="nil"/>
              <w:right w:val="nil"/>
            </w:tcBorders>
            <w:shd w:val="clear" w:color="auto" w:fill="auto"/>
            <w:noWrap/>
            <w:vAlign w:val="bottom"/>
            <w:hideMark/>
          </w:tcPr>
          <w:p w:rsidR="00C642E4" w:rsidRDefault="00C642E4">
            <w:pPr>
              <w:rPr>
                <w:sz w:val="20"/>
                <w:szCs w:val="20"/>
              </w:rPr>
            </w:pPr>
          </w:p>
        </w:tc>
      </w:tr>
      <w:tr w:rsidR="00C642E4" w:rsidTr="00C642E4">
        <w:trPr>
          <w:trHeight w:val="315"/>
        </w:trPr>
        <w:tc>
          <w:tcPr>
            <w:tcW w:w="3790" w:type="dxa"/>
            <w:tcBorders>
              <w:top w:val="nil"/>
              <w:left w:val="nil"/>
              <w:bottom w:val="single" w:sz="8" w:space="0" w:color="auto"/>
              <w:right w:val="single" w:sz="8" w:space="0" w:color="auto"/>
            </w:tcBorders>
            <w:shd w:val="clear" w:color="auto" w:fill="auto"/>
            <w:noWrap/>
            <w:vAlign w:val="bottom"/>
            <w:hideMark/>
          </w:tcPr>
          <w:p w:rsidR="00C642E4" w:rsidRDefault="00C642E4">
            <w:pPr>
              <w:jc w:val="center"/>
              <w:rPr>
                <w:rFonts w:ascii="Arial" w:hAnsi="Arial" w:cs="Arial"/>
                <w:color w:val="000000"/>
                <w:sz w:val="22"/>
                <w:szCs w:val="22"/>
              </w:rPr>
            </w:pPr>
            <w:r>
              <w:rPr>
                <w:rFonts w:ascii="Arial" w:hAnsi="Arial" w:cs="Arial"/>
                <w:color w:val="000000"/>
                <w:sz w:val="22"/>
                <w:szCs w:val="22"/>
              </w:rPr>
              <w:t>Κυκλοφορούν ενεργητικό</w:t>
            </w:r>
          </w:p>
        </w:tc>
        <w:tc>
          <w:tcPr>
            <w:tcW w:w="1642" w:type="dxa"/>
            <w:tcBorders>
              <w:top w:val="nil"/>
              <w:left w:val="nil"/>
              <w:bottom w:val="single" w:sz="8" w:space="0" w:color="auto"/>
              <w:right w:val="single" w:sz="8" w:space="0" w:color="auto"/>
            </w:tcBorders>
            <w:shd w:val="clear" w:color="auto" w:fill="auto"/>
            <w:noWrap/>
            <w:vAlign w:val="bottom"/>
            <w:hideMark/>
          </w:tcPr>
          <w:p w:rsidR="00C642E4" w:rsidRDefault="00C642E4">
            <w:pPr>
              <w:jc w:val="right"/>
              <w:rPr>
                <w:rFonts w:ascii="Arial" w:hAnsi="Arial" w:cs="Arial"/>
                <w:color w:val="000000"/>
                <w:sz w:val="22"/>
                <w:szCs w:val="22"/>
              </w:rPr>
            </w:pPr>
            <w:r>
              <w:rPr>
                <w:rFonts w:ascii="Arial" w:hAnsi="Arial" w:cs="Arial"/>
                <w:color w:val="000000"/>
                <w:sz w:val="22"/>
                <w:szCs w:val="22"/>
              </w:rPr>
              <w:t>325.553,93</w:t>
            </w:r>
          </w:p>
        </w:tc>
        <w:tc>
          <w:tcPr>
            <w:tcW w:w="1097" w:type="dxa"/>
            <w:vMerge w:val="restart"/>
            <w:tcBorders>
              <w:top w:val="nil"/>
              <w:left w:val="single" w:sz="8" w:space="0" w:color="auto"/>
              <w:bottom w:val="nil"/>
              <w:right w:val="single" w:sz="8" w:space="0" w:color="auto"/>
            </w:tcBorders>
            <w:shd w:val="clear" w:color="auto" w:fill="auto"/>
            <w:noWrap/>
            <w:vAlign w:val="center"/>
            <w:hideMark/>
          </w:tcPr>
          <w:p w:rsidR="00C642E4" w:rsidRDefault="00C642E4">
            <w:pPr>
              <w:jc w:val="right"/>
              <w:rPr>
                <w:rFonts w:ascii="Arial" w:hAnsi="Arial" w:cs="Arial"/>
                <w:color w:val="000000"/>
                <w:sz w:val="22"/>
                <w:szCs w:val="22"/>
              </w:rPr>
            </w:pPr>
            <w:r>
              <w:rPr>
                <w:rFonts w:ascii="Arial" w:hAnsi="Arial" w:cs="Arial"/>
                <w:color w:val="000000"/>
                <w:sz w:val="22"/>
                <w:szCs w:val="22"/>
              </w:rPr>
              <w:t>153,02%</w:t>
            </w:r>
          </w:p>
        </w:tc>
        <w:tc>
          <w:tcPr>
            <w:tcW w:w="1654" w:type="dxa"/>
            <w:tcBorders>
              <w:top w:val="nil"/>
              <w:left w:val="nil"/>
              <w:bottom w:val="single" w:sz="8" w:space="0" w:color="auto"/>
              <w:right w:val="single" w:sz="8" w:space="0" w:color="auto"/>
            </w:tcBorders>
            <w:shd w:val="clear" w:color="auto" w:fill="auto"/>
            <w:noWrap/>
            <w:vAlign w:val="bottom"/>
            <w:hideMark/>
          </w:tcPr>
          <w:p w:rsidR="00C642E4" w:rsidRDefault="00C642E4">
            <w:pPr>
              <w:jc w:val="right"/>
              <w:rPr>
                <w:rFonts w:ascii="Arial" w:hAnsi="Arial" w:cs="Arial"/>
                <w:color w:val="000000"/>
                <w:sz w:val="22"/>
                <w:szCs w:val="22"/>
              </w:rPr>
            </w:pPr>
            <w:r>
              <w:rPr>
                <w:rFonts w:ascii="Arial" w:hAnsi="Arial" w:cs="Arial"/>
                <w:color w:val="000000"/>
                <w:sz w:val="22"/>
                <w:szCs w:val="22"/>
              </w:rPr>
              <w:t>296.982,94</w:t>
            </w:r>
          </w:p>
        </w:tc>
        <w:tc>
          <w:tcPr>
            <w:tcW w:w="1097" w:type="dxa"/>
            <w:vMerge w:val="restart"/>
            <w:tcBorders>
              <w:top w:val="nil"/>
              <w:left w:val="single" w:sz="8" w:space="0" w:color="auto"/>
              <w:bottom w:val="nil"/>
              <w:right w:val="single" w:sz="8" w:space="0" w:color="auto"/>
            </w:tcBorders>
            <w:shd w:val="clear" w:color="auto" w:fill="auto"/>
            <w:noWrap/>
            <w:vAlign w:val="center"/>
            <w:hideMark/>
          </w:tcPr>
          <w:p w:rsidR="00C642E4" w:rsidRDefault="00C642E4">
            <w:pPr>
              <w:jc w:val="right"/>
              <w:rPr>
                <w:rFonts w:ascii="Arial" w:hAnsi="Arial" w:cs="Arial"/>
                <w:color w:val="000000"/>
                <w:sz w:val="22"/>
                <w:szCs w:val="22"/>
              </w:rPr>
            </w:pPr>
            <w:r>
              <w:rPr>
                <w:rFonts w:ascii="Arial" w:hAnsi="Arial" w:cs="Arial"/>
                <w:color w:val="000000"/>
                <w:sz w:val="22"/>
                <w:szCs w:val="22"/>
              </w:rPr>
              <w:t>133,25%</w:t>
            </w:r>
          </w:p>
        </w:tc>
      </w:tr>
      <w:tr w:rsidR="00C642E4" w:rsidTr="00C642E4">
        <w:trPr>
          <w:trHeight w:val="300"/>
        </w:trPr>
        <w:tc>
          <w:tcPr>
            <w:tcW w:w="3790" w:type="dxa"/>
            <w:tcBorders>
              <w:top w:val="nil"/>
              <w:left w:val="nil"/>
              <w:bottom w:val="nil"/>
              <w:right w:val="single" w:sz="8" w:space="0" w:color="auto"/>
            </w:tcBorders>
            <w:shd w:val="clear" w:color="auto" w:fill="auto"/>
            <w:noWrap/>
            <w:vAlign w:val="bottom"/>
            <w:hideMark/>
          </w:tcPr>
          <w:p w:rsidR="00C642E4" w:rsidRDefault="00C642E4">
            <w:pPr>
              <w:jc w:val="center"/>
              <w:rPr>
                <w:rFonts w:ascii="Arial" w:hAnsi="Arial" w:cs="Arial"/>
                <w:color w:val="000000"/>
                <w:sz w:val="22"/>
                <w:szCs w:val="22"/>
              </w:rPr>
            </w:pPr>
            <w:r>
              <w:rPr>
                <w:rFonts w:ascii="Arial" w:hAnsi="Arial" w:cs="Arial"/>
                <w:color w:val="000000"/>
                <w:sz w:val="22"/>
                <w:szCs w:val="22"/>
              </w:rPr>
              <w:t>Βραχυπρόθεσμες υποχρεώσεις</w:t>
            </w:r>
          </w:p>
        </w:tc>
        <w:tc>
          <w:tcPr>
            <w:tcW w:w="1642" w:type="dxa"/>
            <w:tcBorders>
              <w:top w:val="nil"/>
              <w:left w:val="nil"/>
              <w:bottom w:val="nil"/>
              <w:right w:val="single" w:sz="8" w:space="0" w:color="auto"/>
            </w:tcBorders>
            <w:shd w:val="clear" w:color="auto" w:fill="auto"/>
            <w:noWrap/>
            <w:vAlign w:val="bottom"/>
            <w:hideMark/>
          </w:tcPr>
          <w:p w:rsidR="00C642E4" w:rsidRDefault="00C642E4">
            <w:pPr>
              <w:jc w:val="right"/>
              <w:rPr>
                <w:rFonts w:ascii="Arial" w:hAnsi="Arial" w:cs="Arial"/>
                <w:color w:val="000000"/>
                <w:sz w:val="22"/>
                <w:szCs w:val="22"/>
              </w:rPr>
            </w:pPr>
            <w:r>
              <w:rPr>
                <w:rFonts w:ascii="Arial" w:hAnsi="Arial" w:cs="Arial"/>
                <w:color w:val="000000"/>
                <w:sz w:val="22"/>
                <w:szCs w:val="22"/>
              </w:rPr>
              <w:t>212.747,82</w:t>
            </w:r>
          </w:p>
        </w:tc>
        <w:tc>
          <w:tcPr>
            <w:tcW w:w="1097" w:type="dxa"/>
            <w:vMerge/>
            <w:tcBorders>
              <w:top w:val="nil"/>
              <w:left w:val="single" w:sz="8" w:space="0" w:color="auto"/>
              <w:bottom w:val="nil"/>
              <w:right w:val="single" w:sz="8" w:space="0" w:color="auto"/>
            </w:tcBorders>
            <w:vAlign w:val="center"/>
            <w:hideMark/>
          </w:tcPr>
          <w:p w:rsidR="00C642E4" w:rsidRDefault="00C642E4">
            <w:pPr>
              <w:rPr>
                <w:rFonts w:ascii="Arial" w:hAnsi="Arial" w:cs="Arial"/>
                <w:color w:val="000000"/>
                <w:sz w:val="22"/>
                <w:szCs w:val="22"/>
              </w:rPr>
            </w:pPr>
          </w:p>
        </w:tc>
        <w:tc>
          <w:tcPr>
            <w:tcW w:w="1654" w:type="dxa"/>
            <w:tcBorders>
              <w:top w:val="nil"/>
              <w:left w:val="nil"/>
              <w:bottom w:val="nil"/>
              <w:right w:val="single" w:sz="8" w:space="0" w:color="auto"/>
            </w:tcBorders>
            <w:shd w:val="clear" w:color="auto" w:fill="auto"/>
            <w:noWrap/>
            <w:vAlign w:val="bottom"/>
            <w:hideMark/>
          </w:tcPr>
          <w:p w:rsidR="00C642E4" w:rsidRDefault="00C642E4">
            <w:pPr>
              <w:jc w:val="right"/>
              <w:rPr>
                <w:rFonts w:ascii="Arial" w:hAnsi="Arial" w:cs="Arial"/>
                <w:color w:val="000000"/>
                <w:sz w:val="22"/>
                <w:szCs w:val="22"/>
              </w:rPr>
            </w:pPr>
            <w:r>
              <w:rPr>
                <w:rFonts w:ascii="Arial" w:hAnsi="Arial" w:cs="Arial"/>
                <w:color w:val="000000"/>
                <w:sz w:val="22"/>
                <w:szCs w:val="22"/>
              </w:rPr>
              <w:t>222.871,96</w:t>
            </w:r>
          </w:p>
        </w:tc>
        <w:tc>
          <w:tcPr>
            <w:tcW w:w="1097" w:type="dxa"/>
            <w:vMerge/>
            <w:tcBorders>
              <w:top w:val="nil"/>
              <w:left w:val="single" w:sz="8" w:space="0" w:color="auto"/>
              <w:bottom w:val="nil"/>
              <w:right w:val="single" w:sz="8" w:space="0" w:color="auto"/>
            </w:tcBorders>
            <w:vAlign w:val="center"/>
            <w:hideMark/>
          </w:tcPr>
          <w:p w:rsidR="00C642E4" w:rsidRDefault="00C642E4">
            <w:pPr>
              <w:rPr>
                <w:rFonts w:ascii="Arial" w:hAnsi="Arial" w:cs="Arial"/>
                <w:color w:val="000000"/>
                <w:sz w:val="22"/>
                <w:szCs w:val="22"/>
              </w:rPr>
            </w:pPr>
          </w:p>
        </w:tc>
      </w:tr>
      <w:tr w:rsidR="00C642E4" w:rsidTr="00C642E4">
        <w:trPr>
          <w:trHeight w:val="300"/>
        </w:trPr>
        <w:tc>
          <w:tcPr>
            <w:tcW w:w="3790" w:type="dxa"/>
            <w:tcBorders>
              <w:top w:val="nil"/>
              <w:left w:val="nil"/>
              <w:bottom w:val="nil"/>
              <w:right w:val="nil"/>
            </w:tcBorders>
            <w:shd w:val="clear" w:color="auto" w:fill="auto"/>
            <w:noWrap/>
            <w:vAlign w:val="bottom"/>
            <w:hideMark/>
          </w:tcPr>
          <w:p w:rsidR="00C642E4" w:rsidRDefault="00C642E4">
            <w:pPr>
              <w:jc w:val="right"/>
              <w:rPr>
                <w:rFonts w:ascii="Arial" w:hAnsi="Arial" w:cs="Arial"/>
                <w:color w:val="000000"/>
                <w:sz w:val="22"/>
                <w:szCs w:val="22"/>
              </w:rPr>
            </w:pPr>
          </w:p>
        </w:tc>
        <w:tc>
          <w:tcPr>
            <w:tcW w:w="1642" w:type="dxa"/>
            <w:tcBorders>
              <w:top w:val="nil"/>
              <w:left w:val="nil"/>
              <w:bottom w:val="nil"/>
              <w:right w:val="nil"/>
            </w:tcBorders>
            <w:shd w:val="clear" w:color="auto" w:fill="auto"/>
            <w:noWrap/>
            <w:vAlign w:val="bottom"/>
            <w:hideMark/>
          </w:tcPr>
          <w:p w:rsidR="00C642E4" w:rsidRDefault="00C642E4">
            <w:pPr>
              <w:rPr>
                <w:sz w:val="20"/>
                <w:szCs w:val="20"/>
              </w:rPr>
            </w:pPr>
          </w:p>
        </w:tc>
        <w:tc>
          <w:tcPr>
            <w:tcW w:w="1097" w:type="dxa"/>
            <w:tcBorders>
              <w:top w:val="nil"/>
              <w:left w:val="nil"/>
              <w:bottom w:val="nil"/>
              <w:right w:val="nil"/>
            </w:tcBorders>
            <w:shd w:val="clear" w:color="auto" w:fill="auto"/>
            <w:noWrap/>
            <w:vAlign w:val="bottom"/>
            <w:hideMark/>
          </w:tcPr>
          <w:p w:rsidR="00C642E4" w:rsidRDefault="00C642E4">
            <w:pPr>
              <w:rPr>
                <w:sz w:val="20"/>
                <w:szCs w:val="20"/>
              </w:rPr>
            </w:pPr>
          </w:p>
        </w:tc>
        <w:tc>
          <w:tcPr>
            <w:tcW w:w="1654" w:type="dxa"/>
            <w:tcBorders>
              <w:top w:val="nil"/>
              <w:left w:val="nil"/>
              <w:bottom w:val="nil"/>
              <w:right w:val="nil"/>
            </w:tcBorders>
            <w:shd w:val="clear" w:color="auto" w:fill="auto"/>
            <w:noWrap/>
            <w:vAlign w:val="bottom"/>
            <w:hideMark/>
          </w:tcPr>
          <w:p w:rsidR="00C642E4" w:rsidRDefault="00C642E4">
            <w:pPr>
              <w:rPr>
                <w:sz w:val="20"/>
                <w:szCs w:val="20"/>
              </w:rPr>
            </w:pPr>
          </w:p>
        </w:tc>
        <w:tc>
          <w:tcPr>
            <w:tcW w:w="1097" w:type="dxa"/>
            <w:tcBorders>
              <w:top w:val="nil"/>
              <w:left w:val="nil"/>
              <w:bottom w:val="nil"/>
              <w:right w:val="nil"/>
            </w:tcBorders>
            <w:shd w:val="clear" w:color="auto" w:fill="auto"/>
            <w:noWrap/>
            <w:vAlign w:val="bottom"/>
            <w:hideMark/>
          </w:tcPr>
          <w:p w:rsidR="00C642E4" w:rsidRDefault="00C642E4">
            <w:pPr>
              <w:rPr>
                <w:sz w:val="20"/>
                <w:szCs w:val="20"/>
              </w:rPr>
            </w:pPr>
          </w:p>
        </w:tc>
      </w:tr>
      <w:tr w:rsidR="00C642E4" w:rsidTr="00C642E4">
        <w:trPr>
          <w:trHeight w:val="930"/>
        </w:trPr>
        <w:tc>
          <w:tcPr>
            <w:tcW w:w="9280" w:type="dxa"/>
            <w:gridSpan w:val="5"/>
            <w:tcBorders>
              <w:top w:val="nil"/>
              <w:left w:val="nil"/>
              <w:bottom w:val="nil"/>
              <w:right w:val="nil"/>
            </w:tcBorders>
            <w:shd w:val="clear" w:color="auto" w:fill="auto"/>
            <w:vAlign w:val="bottom"/>
            <w:hideMark/>
          </w:tcPr>
          <w:p w:rsidR="00C642E4" w:rsidRDefault="00C642E4">
            <w:pPr>
              <w:jc w:val="both"/>
              <w:rPr>
                <w:rFonts w:ascii="Arial" w:hAnsi="Arial" w:cs="Arial"/>
                <w:color w:val="000000"/>
                <w:sz w:val="22"/>
                <w:szCs w:val="22"/>
              </w:rPr>
            </w:pPr>
            <w:r>
              <w:rPr>
                <w:rFonts w:ascii="Arial" w:hAnsi="Arial" w:cs="Arial"/>
                <w:color w:val="000000"/>
                <w:sz w:val="22"/>
                <w:szCs w:val="22"/>
              </w:rPr>
              <w:t>Ο δείκτης αυτός  δείχνει την δυνατότητα της Εταιρείας να καλύψει τις βραχυπρόθεσμες υποχρεώσεις της με στοιχεία του κυκλοφορούντος ενεργητικού.</w:t>
            </w:r>
          </w:p>
        </w:tc>
      </w:tr>
      <w:tr w:rsidR="00C642E4" w:rsidTr="00C642E4">
        <w:trPr>
          <w:trHeight w:val="300"/>
        </w:trPr>
        <w:tc>
          <w:tcPr>
            <w:tcW w:w="3790" w:type="dxa"/>
            <w:tcBorders>
              <w:top w:val="nil"/>
              <w:left w:val="nil"/>
              <w:bottom w:val="nil"/>
              <w:right w:val="nil"/>
            </w:tcBorders>
            <w:shd w:val="clear" w:color="auto" w:fill="auto"/>
            <w:noWrap/>
            <w:vAlign w:val="bottom"/>
            <w:hideMark/>
          </w:tcPr>
          <w:p w:rsidR="00C642E4" w:rsidRDefault="00C642E4">
            <w:pPr>
              <w:jc w:val="both"/>
              <w:rPr>
                <w:rFonts w:ascii="Arial" w:hAnsi="Arial" w:cs="Arial"/>
                <w:color w:val="000000"/>
                <w:sz w:val="22"/>
                <w:szCs w:val="22"/>
              </w:rPr>
            </w:pPr>
          </w:p>
        </w:tc>
        <w:tc>
          <w:tcPr>
            <w:tcW w:w="1642" w:type="dxa"/>
            <w:tcBorders>
              <w:top w:val="nil"/>
              <w:left w:val="nil"/>
              <w:bottom w:val="nil"/>
              <w:right w:val="nil"/>
            </w:tcBorders>
            <w:shd w:val="clear" w:color="auto" w:fill="auto"/>
            <w:noWrap/>
            <w:vAlign w:val="bottom"/>
            <w:hideMark/>
          </w:tcPr>
          <w:p w:rsidR="00C642E4" w:rsidRDefault="00C642E4">
            <w:pPr>
              <w:rPr>
                <w:sz w:val="20"/>
                <w:szCs w:val="20"/>
              </w:rPr>
            </w:pPr>
          </w:p>
        </w:tc>
        <w:tc>
          <w:tcPr>
            <w:tcW w:w="1097" w:type="dxa"/>
            <w:tcBorders>
              <w:top w:val="nil"/>
              <w:left w:val="nil"/>
              <w:bottom w:val="nil"/>
              <w:right w:val="nil"/>
            </w:tcBorders>
            <w:shd w:val="clear" w:color="auto" w:fill="auto"/>
            <w:noWrap/>
            <w:vAlign w:val="bottom"/>
            <w:hideMark/>
          </w:tcPr>
          <w:p w:rsidR="00C642E4" w:rsidRDefault="00C642E4">
            <w:pPr>
              <w:rPr>
                <w:sz w:val="20"/>
                <w:szCs w:val="20"/>
              </w:rPr>
            </w:pPr>
          </w:p>
        </w:tc>
        <w:tc>
          <w:tcPr>
            <w:tcW w:w="1654" w:type="dxa"/>
            <w:tcBorders>
              <w:top w:val="nil"/>
              <w:left w:val="nil"/>
              <w:bottom w:val="nil"/>
              <w:right w:val="nil"/>
            </w:tcBorders>
            <w:shd w:val="clear" w:color="auto" w:fill="auto"/>
            <w:noWrap/>
            <w:vAlign w:val="bottom"/>
            <w:hideMark/>
          </w:tcPr>
          <w:p w:rsidR="00C642E4" w:rsidRDefault="00C642E4">
            <w:pPr>
              <w:rPr>
                <w:sz w:val="20"/>
                <w:szCs w:val="20"/>
              </w:rPr>
            </w:pPr>
          </w:p>
        </w:tc>
        <w:tc>
          <w:tcPr>
            <w:tcW w:w="1097" w:type="dxa"/>
            <w:tcBorders>
              <w:top w:val="nil"/>
              <w:left w:val="nil"/>
              <w:bottom w:val="nil"/>
              <w:right w:val="nil"/>
            </w:tcBorders>
            <w:shd w:val="clear" w:color="auto" w:fill="auto"/>
            <w:noWrap/>
            <w:vAlign w:val="bottom"/>
            <w:hideMark/>
          </w:tcPr>
          <w:p w:rsidR="00C642E4" w:rsidRDefault="00C642E4">
            <w:pPr>
              <w:rPr>
                <w:sz w:val="20"/>
                <w:szCs w:val="20"/>
              </w:rPr>
            </w:pPr>
          </w:p>
        </w:tc>
      </w:tr>
      <w:tr w:rsidR="00C642E4" w:rsidTr="00C642E4">
        <w:trPr>
          <w:trHeight w:val="315"/>
        </w:trPr>
        <w:tc>
          <w:tcPr>
            <w:tcW w:w="3790" w:type="dxa"/>
            <w:tcBorders>
              <w:top w:val="nil"/>
              <w:left w:val="nil"/>
              <w:bottom w:val="single" w:sz="8" w:space="0" w:color="auto"/>
              <w:right w:val="single" w:sz="8" w:space="0" w:color="auto"/>
            </w:tcBorders>
            <w:shd w:val="clear" w:color="auto" w:fill="auto"/>
            <w:noWrap/>
            <w:vAlign w:val="bottom"/>
            <w:hideMark/>
          </w:tcPr>
          <w:p w:rsidR="00C642E4" w:rsidRDefault="00C642E4">
            <w:pPr>
              <w:jc w:val="center"/>
              <w:rPr>
                <w:rFonts w:ascii="Arial" w:hAnsi="Arial" w:cs="Arial"/>
                <w:color w:val="000000"/>
                <w:sz w:val="22"/>
                <w:szCs w:val="22"/>
              </w:rPr>
            </w:pPr>
            <w:r>
              <w:rPr>
                <w:rFonts w:ascii="Arial" w:hAnsi="Arial" w:cs="Arial"/>
                <w:color w:val="000000"/>
                <w:sz w:val="22"/>
                <w:szCs w:val="22"/>
              </w:rPr>
              <w:t>Κεφάλαιο κινήσεως</w:t>
            </w:r>
          </w:p>
        </w:tc>
        <w:tc>
          <w:tcPr>
            <w:tcW w:w="1642" w:type="dxa"/>
            <w:tcBorders>
              <w:top w:val="nil"/>
              <w:left w:val="nil"/>
              <w:bottom w:val="single" w:sz="8" w:space="0" w:color="auto"/>
              <w:right w:val="single" w:sz="8" w:space="0" w:color="auto"/>
            </w:tcBorders>
            <w:shd w:val="clear" w:color="auto" w:fill="auto"/>
            <w:noWrap/>
            <w:vAlign w:val="bottom"/>
            <w:hideMark/>
          </w:tcPr>
          <w:p w:rsidR="00C642E4" w:rsidRDefault="00C642E4">
            <w:pPr>
              <w:jc w:val="right"/>
              <w:rPr>
                <w:rFonts w:ascii="Arial" w:hAnsi="Arial" w:cs="Arial"/>
                <w:color w:val="000000"/>
                <w:sz w:val="22"/>
                <w:szCs w:val="22"/>
              </w:rPr>
            </w:pPr>
            <w:r>
              <w:rPr>
                <w:rFonts w:ascii="Arial" w:hAnsi="Arial" w:cs="Arial"/>
                <w:color w:val="000000"/>
                <w:sz w:val="22"/>
                <w:szCs w:val="22"/>
              </w:rPr>
              <w:t>112.806,11</w:t>
            </w:r>
          </w:p>
        </w:tc>
        <w:tc>
          <w:tcPr>
            <w:tcW w:w="1097" w:type="dxa"/>
            <w:vMerge w:val="restart"/>
            <w:tcBorders>
              <w:top w:val="nil"/>
              <w:left w:val="single" w:sz="8" w:space="0" w:color="auto"/>
              <w:bottom w:val="nil"/>
              <w:right w:val="single" w:sz="8" w:space="0" w:color="auto"/>
            </w:tcBorders>
            <w:shd w:val="clear" w:color="auto" w:fill="auto"/>
            <w:noWrap/>
            <w:vAlign w:val="center"/>
            <w:hideMark/>
          </w:tcPr>
          <w:p w:rsidR="00C642E4" w:rsidRDefault="00C642E4">
            <w:pPr>
              <w:jc w:val="right"/>
              <w:rPr>
                <w:rFonts w:ascii="Arial" w:hAnsi="Arial" w:cs="Arial"/>
                <w:color w:val="000000"/>
                <w:sz w:val="22"/>
                <w:szCs w:val="22"/>
              </w:rPr>
            </w:pPr>
            <w:r>
              <w:rPr>
                <w:rFonts w:ascii="Arial" w:hAnsi="Arial" w:cs="Arial"/>
                <w:color w:val="000000"/>
                <w:sz w:val="22"/>
                <w:szCs w:val="22"/>
              </w:rPr>
              <w:t>34,65%</w:t>
            </w:r>
          </w:p>
        </w:tc>
        <w:tc>
          <w:tcPr>
            <w:tcW w:w="1654" w:type="dxa"/>
            <w:tcBorders>
              <w:top w:val="nil"/>
              <w:left w:val="nil"/>
              <w:bottom w:val="single" w:sz="8" w:space="0" w:color="auto"/>
              <w:right w:val="single" w:sz="8" w:space="0" w:color="auto"/>
            </w:tcBorders>
            <w:shd w:val="clear" w:color="auto" w:fill="auto"/>
            <w:noWrap/>
            <w:vAlign w:val="bottom"/>
            <w:hideMark/>
          </w:tcPr>
          <w:p w:rsidR="00C642E4" w:rsidRDefault="00C642E4">
            <w:pPr>
              <w:jc w:val="right"/>
              <w:rPr>
                <w:rFonts w:ascii="Arial" w:hAnsi="Arial" w:cs="Arial"/>
                <w:color w:val="000000"/>
                <w:sz w:val="22"/>
                <w:szCs w:val="22"/>
              </w:rPr>
            </w:pPr>
            <w:r>
              <w:rPr>
                <w:rFonts w:ascii="Arial" w:hAnsi="Arial" w:cs="Arial"/>
                <w:color w:val="000000"/>
                <w:sz w:val="22"/>
                <w:szCs w:val="22"/>
              </w:rPr>
              <w:t>74.110,98</w:t>
            </w:r>
          </w:p>
        </w:tc>
        <w:tc>
          <w:tcPr>
            <w:tcW w:w="1097" w:type="dxa"/>
            <w:vMerge w:val="restart"/>
            <w:tcBorders>
              <w:top w:val="nil"/>
              <w:left w:val="single" w:sz="8" w:space="0" w:color="auto"/>
              <w:bottom w:val="nil"/>
              <w:right w:val="single" w:sz="8" w:space="0" w:color="auto"/>
            </w:tcBorders>
            <w:shd w:val="clear" w:color="auto" w:fill="auto"/>
            <w:noWrap/>
            <w:vAlign w:val="center"/>
            <w:hideMark/>
          </w:tcPr>
          <w:p w:rsidR="00C642E4" w:rsidRDefault="00C642E4">
            <w:pPr>
              <w:jc w:val="right"/>
              <w:rPr>
                <w:rFonts w:ascii="Arial" w:hAnsi="Arial" w:cs="Arial"/>
                <w:color w:val="000000"/>
                <w:sz w:val="22"/>
                <w:szCs w:val="22"/>
              </w:rPr>
            </w:pPr>
            <w:r>
              <w:rPr>
                <w:rFonts w:ascii="Arial" w:hAnsi="Arial" w:cs="Arial"/>
                <w:color w:val="000000"/>
                <w:sz w:val="22"/>
                <w:szCs w:val="22"/>
              </w:rPr>
              <w:t>24,95%</w:t>
            </w:r>
          </w:p>
        </w:tc>
      </w:tr>
      <w:tr w:rsidR="00C642E4" w:rsidTr="00C642E4">
        <w:trPr>
          <w:trHeight w:val="300"/>
        </w:trPr>
        <w:tc>
          <w:tcPr>
            <w:tcW w:w="3790" w:type="dxa"/>
            <w:tcBorders>
              <w:top w:val="nil"/>
              <w:left w:val="nil"/>
              <w:bottom w:val="nil"/>
              <w:right w:val="single" w:sz="8" w:space="0" w:color="auto"/>
            </w:tcBorders>
            <w:shd w:val="clear" w:color="auto" w:fill="auto"/>
            <w:noWrap/>
            <w:vAlign w:val="bottom"/>
            <w:hideMark/>
          </w:tcPr>
          <w:p w:rsidR="00C642E4" w:rsidRDefault="00C642E4">
            <w:pPr>
              <w:jc w:val="center"/>
              <w:rPr>
                <w:rFonts w:ascii="Arial" w:hAnsi="Arial" w:cs="Arial"/>
                <w:color w:val="000000"/>
                <w:sz w:val="22"/>
                <w:szCs w:val="22"/>
              </w:rPr>
            </w:pPr>
            <w:r>
              <w:rPr>
                <w:rFonts w:ascii="Arial" w:hAnsi="Arial" w:cs="Arial"/>
                <w:color w:val="000000"/>
                <w:sz w:val="22"/>
                <w:szCs w:val="22"/>
              </w:rPr>
              <w:t>Κυκλοφορούν ενεργητικό</w:t>
            </w:r>
          </w:p>
        </w:tc>
        <w:tc>
          <w:tcPr>
            <w:tcW w:w="1642" w:type="dxa"/>
            <w:tcBorders>
              <w:top w:val="nil"/>
              <w:left w:val="nil"/>
              <w:bottom w:val="nil"/>
              <w:right w:val="single" w:sz="8" w:space="0" w:color="auto"/>
            </w:tcBorders>
            <w:shd w:val="clear" w:color="auto" w:fill="auto"/>
            <w:noWrap/>
            <w:vAlign w:val="bottom"/>
            <w:hideMark/>
          </w:tcPr>
          <w:p w:rsidR="00C642E4" w:rsidRDefault="00C642E4">
            <w:pPr>
              <w:jc w:val="right"/>
              <w:rPr>
                <w:rFonts w:ascii="Arial" w:hAnsi="Arial" w:cs="Arial"/>
                <w:color w:val="000000"/>
                <w:sz w:val="22"/>
                <w:szCs w:val="22"/>
              </w:rPr>
            </w:pPr>
            <w:r>
              <w:rPr>
                <w:rFonts w:ascii="Arial" w:hAnsi="Arial" w:cs="Arial"/>
                <w:color w:val="000000"/>
                <w:sz w:val="22"/>
                <w:szCs w:val="22"/>
              </w:rPr>
              <w:t>325.553,93</w:t>
            </w:r>
          </w:p>
        </w:tc>
        <w:tc>
          <w:tcPr>
            <w:tcW w:w="1097" w:type="dxa"/>
            <w:vMerge/>
            <w:tcBorders>
              <w:top w:val="nil"/>
              <w:left w:val="single" w:sz="8" w:space="0" w:color="auto"/>
              <w:bottom w:val="nil"/>
              <w:right w:val="single" w:sz="8" w:space="0" w:color="auto"/>
            </w:tcBorders>
            <w:vAlign w:val="center"/>
            <w:hideMark/>
          </w:tcPr>
          <w:p w:rsidR="00C642E4" w:rsidRDefault="00C642E4">
            <w:pPr>
              <w:rPr>
                <w:rFonts w:ascii="Arial" w:hAnsi="Arial" w:cs="Arial"/>
                <w:color w:val="000000"/>
                <w:sz w:val="22"/>
                <w:szCs w:val="22"/>
              </w:rPr>
            </w:pPr>
          </w:p>
        </w:tc>
        <w:tc>
          <w:tcPr>
            <w:tcW w:w="1654" w:type="dxa"/>
            <w:tcBorders>
              <w:top w:val="nil"/>
              <w:left w:val="nil"/>
              <w:bottom w:val="nil"/>
              <w:right w:val="single" w:sz="8" w:space="0" w:color="auto"/>
            </w:tcBorders>
            <w:shd w:val="clear" w:color="auto" w:fill="auto"/>
            <w:noWrap/>
            <w:vAlign w:val="bottom"/>
            <w:hideMark/>
          </w:tcPr>
          <w:p w:rsidR="00C642E4" w:rsidRDefault="00C642E4">
            <w:pPr>
              <w:jc w:val="right"/>
              <w:rPr>
                <w:rFonts w:ascii="Arial" w:hAnsi="Arial" w:cs="Arial"/>
                <w:color w:val="000000"/>
                <w:sz w:val="22"/>
                <w:szCs w:val="22"/>
              </w:rPr>
            </w:pPr>
            <w:r>
              <w:rPr>
                <w:rFonts w:ascii="Arial" w:hAnsi="Arial" w:cs="Arial"/>
                <w:color w:val="000000"/>
                <w:sz w:val="22"/>
                <w:szCs w:val="22"/>
              </w:rPr>
              <w:t>296.982,94</w:t>
            </w:r>
          </w:p>
        </w:tc>
        <w:tc>
          <w:tcPr>
            <w:tcW w:w="1097" w:type="dxa"/>
            <w:vMerge/>
            <w:tcBorders>
              <w:top w:val="nil"/>
              <w:left w:val="single" w:sz="8" w:space="0" w:color="auto"/>
              <w:bottom w:val="nil"/>
              <w:right w:val="single" w:sz="8" w:space="0" w:color="auto"/>
            </w:tcBorders>
            <w:vAlign w:val="center"/>
            <w:hideMark/>
          </w:tcPr>
          <w:p w:rsidR="00C642E4" w:rsidRDefault="00C642E4">
            <w:pPr>
              <w:rPr>
                <w:rFonts w:ascii="Arial" w:hAnsi="Arial" w:cs="Arial"/>
                <w:color w:val="000000"/>
                <w:sz w:val="22"/>
                <w:szCs w:val="22"/>
              </w:rPr>
            </w:pPr>
          </w:p>
        </w:tc>
      </w:tr>
      <w:tr w:rsidR="00C642E4" w:rsidTr="00C642E4">
        <w:trPr>
          <w:trHeight w:val="300"/>
        </w:trPr>
        <w:tc>
          <w:tcPr>
            <w:tcW w:w="3790" w:type="dxa"/>
            <w:tcBorders>
              <w:top w:val="nil"/>
              <w:left w:val="nil"/>
              <w:bottom w:val="nil"/>
              <w:right w:val="nil"/>
            </w:tcBorders>
            <w:shd w:val="clear" w:color="auto" w:fill="auto"/>
            <w:noWrap/>
            <w:vAlign w:val="bottom"/>
            <w:hideMark/>
          </w:tcPr>
          <w:p w:rsidR="00C642E4" w:rsidRDefault="00C642E4">
            <w:pPr>
              <w:jc w:val="right"/>
              <w:rPr>
                <w:rFonts w:ascii="Arial" w:hAnsi="Arial" w:cs="Arial"/>
                <w:color w:val="000000"/>
                <w:sz w:val="22"/>
                <w:szCs w:val="22"/>
              </w:rPr>
            </w:pPr>
          </w:p>
        </w:tc>
        <w:tc>
          <w:tcPr>
            <w:tcW w:w="1642" w:type="dxa"/>
            <w:tcBorders>
              <w:top w:val="nil"/>
              <w:left w:val="nil"/>
              <w:bottom w:val="nil"/>
              <w:right w:val="nil"/>
            </w:tcBorders>
            <w:shd w:val="clear" w:color="auto" w:fill="auto"/>
            <w:noWrap/>
            <w:vAlign w:val="bottom"/>
            <w:hideMark/>
          </w:tcPr>
          <w:p w:rsidR="00C642E4" w:rsidRDefault="00C642E4">
            <w:pPr>
              <w:rPr>
                <w:sz w:val="20"/>
                <w:szCs w:val="20"/>
              </w:rPr>
            </w:pPr>
          </w:p>
        </w:tc>
        <w:tc>
          <w:tcPr>
            <w:tcW w:w="1097" w:type="dxa"/>
            <w:tcBorders>
              <w:top w:val="nil"/>
              <w:left w:val="nil"/>
              <w:bottom w:val="nil"/>
              <w:right w:val="nil"/>
            </w:tcBorders>
            <w:shd w:val="clear" w:color="auto" w:fill="auto"/>
            <w:noWrap/>
            <w:vAlign w:val="bottom"/>
            <w:hideMark/>
          </w:tcPr>
          <w:p w:rsidR="00C642E4" w:rsidRDefault="00C642E4">
            <w:pPr>
              <w:rPr>
                <w:sz w:val="20"/>
                <w:szCs w:val="20"/>
              </w:rPr>
            </w:pPr>
          </w:p>
        </w:tc>
        <w:tc>
          <w:tcPr>
            <w:tcW w:w="1654" w:type="dxa"/>
            <w:tcBorders>
              <w:top w:val="nil"/>
              <w:left w:val="nil"/>
              <w:bottom w:val="nil"/>
              <w:right w:val="nil"/>
            </w:tcBorders>
            <w:shd w:val="clear" w:color="auto" w:fill="auto"/>
            <w:noWrap/>
            <w:vAlign w:val="bottom"/>
            <w:hideMark/>
          </w:tcPr>
          <w:p w:rsidR="00C642E4" w:rsidRDefault="00C642E4">
            <w:pPr>
              <w:rPr>
                <w:sz w:val="20"/>
                <w:szCs w:val="20"/>
              </w:rPr>
            </w:pPr>
          </w:p>
        </w:tc>
        <w:tc>
          <w:tcPr>
            <w:tcW w:w="1097" w:type="dxa"/>
            <w:tcBorders>
              <w:top w:val="nil"/>
              <w:left w:val="nil"/>
              <w:bottom w:val="nil"/>
              <w:right w:val="nil"/>
            </w:tcBorders>
            <w:shd w:val="clear" w:color="auto" w:fill="auto"/>
            <w:noWrap/>
            <w:vAlign w:val="bottom"/>
            <w:hideMark/>
          </w:tcPr>
          <w:p w:rsidR="00C642E4" w:rsidRDefault="00C642E4">
            <w:pPr>
              <w:rPr>
                <w:sz w:val="20"/>
                <w:szCs w:val="20"/>
              </w:rPr>
            </w:pPr>
          </w:p>
        </w:tc>
      </w:tr>
      <w:tr w:rsidR="00C642E4" w:rsidTr="00C642E4">
        <w:trPr>
          <w:trHeight w:val="960"/>
        </w:trPr>
        <w:tc>
          <w:tcPr>
            <w:tcW w:w="9280" w:type="dxa"/>
            <w:gridSpan w:val="5"/>
            <w:tcBorders>
              <w:top w:val="nil"/>
              <w:left w:val="nil"/>
              <w:bottom w:val="nil"/>
              <w:right w:val="nil"/>
            </w:tcBorders>
            <w:shd w:val="clear" w:color="auto" w:fill="auto"/>
            <w:vAlign w:val="bottom"/>
            <w:hideMark/>
          </w:tcPr>
          <w:p w:rsidR="00C642E4" w:rsidRDefault="00C642E4">
            <w:pPr>
              <w:jc w:val="both"/>
              <w:rPr>
                <w:rFonts w:ascii="Arial" w:hAnsi="Arial" w:cs="Arial"/>
                <w:color w:val="000000"/>
                <w:sz w:val="22"/>
                <w:szCs w:val="22"/>
              </w:rPr>
            </w:pPr>
            <w:r>
              <w:rPr>
                <w:rFonts w:ascii="Arial" w:hAnsi="Arial" w:cs="Arial"/>
                <w:color w:val="000000"/>
                <w:sz w:val="22"/>
                <w:szCs w:val="22"/>
              </w:rPr>
              <w:lastRenderedPageBreak/>
              <w:t>Ο αριθμοδείκτης αυτός απεικονίζει σε ποσοστό το τμήμα του Κυκλοφορούντος ενεργητικού το οποίο χρηματοδοτείται από το πλεόνασμα των διαρκών κεφαλαίων (Ιδίων Κεφαλαίων και Μακροπρόθεσμων υποχρεώσεων).</w:t>
            </w:r>
          </w:p>
        </w:tc>
      </w:tr>
    </w:tbl>
    <w:p w:rsidR="00525943" w:rsidRDefault="00525943" w:rsidP="007E484A">
      <w:pPr>
        <w:spacing w:line="360" w:lineRule="auto"/>
        <w:ind w:firstLine="720"/>
        <w:jc w:val="both"/>
      </w:pPr>
    </w:p>
    <w:tbl>
      <w:tblPr>
        <w:tblW w:w="9281" w:type="dxa"/>
        <w:tblInd w:w="108" w:type="dxa"/>
        <w:tblLook w:val="04A0" w:firstRow="1" w:lastRow="0" w:firstColumn="1" w:lastColumn="0" w:noHBand="0" w:noVBand="1"/>
      </w:tblPr>
      <w:tblGrid>
        <w:gridCol w:w="4095"/>
        <w:gridCol w:w="1617"/>
        <w:gridCol w:w="963"/>
        <w:gridCol w:w="1628"/>
        <w:gridCol w:w="1067"/>
      </w:tblGrid>
      <w:tr w:rsidR="00C642E4" w:rsidTr="00C642E4">
        <w:trPr>
          <w:trHeight w:val="315"/>
        </w:trPr>
        <w:tc>
          <w:tcPr>
            <w:tcW w:w="9281" w:type="dxa"/>
            <w:gridSpan w:val="5"/>
            <w:tcBorders>
              <w:top w:val="nil"/>
              <w:left w:val="nil"/>
              <w:bottom w:val="nil"/>
              <w:right w:val="nil"/>
            </w:tcBorders>
            <w:shd w:val="clear" w:color="auto" w:fill="auto"/>
            <w:noWrap/>
            <w:vAlign w:val="bottom"/>
            <w:hideMark/>
          </w:tcPr>
          <w:p w:rsidR="00C642E4" w:rsidRDefault="00C642E4">
            <w:pPr>
              <w:jc w:val="center"/>
              <w:rPr>
                <w:rFonts w:ascii="Arial" w:hAnsi="Arial" w:cs="Arial"/>
                <w:b/>
                <w:bCs/>
                <w:color w:val="000000"/>
              </w:rPr>
            </w:pPr>
            <w:r>
              <w:rPr>
                <w:rFonts w:ascii="Arial" w:hAnsi="Arial" w:cs="Arial"/>
                <w:b/>
                <w:bCs/>
                <w:color w:val="000000"/>
              </w:rPr>
              <w:t>Αριθμοδείκτες αποδόσεως και αποδοτικότητας</w:t>
            </w:r>
          </w:p>
        </w:tc>
      </w:tr>
      <w:tr w:rsidR="00C642E4" w:rsidTr="00C642E4">
        <w:trPr>
          <w:trHeight w:val="315"/>
        </w:trPr>
        <w:tc>
          <w:tcPr>
            <w:tcW w:w="4095" w:type="dxa"/>
            <w:tcBorders>
              <w:top w:val="nil"/>
              <w:left w:val="nil"/>
              <w:bottom w:val="nil"/>
              <w:right w:val="nil"/>
            </w:tcBorders>
            <w:shd w:val="clear" w:color="auto" w:fill="auto"/>
            <w:noWrap/>
            <w:vAlign w:val="bottom"/>
            <w:hideMark/>
          </w:tcPr>
          <w:p w:rsidR="00C642E4" w:rsidRDefault="00C642E4">
            <w:pPr>
              <w:jc w:val="center"/>
              <w:rPr>
                <w:rFonts w:ascii="Arial" w:hAnsi="Arial" w:cs="Arial"/>
                <w:b/>
                <w:bCs/>
                <w:color w:val="000000"/>
              </w:rPr>
            </w:pPr>
          </w:p>
        </w:tc>
        <w:tc>
          <w:tcPr>
            <w:tcW w:w="1617" w:type="dxa"/>
            <w:tcBorders>
              <w:top w:val="nil"/>
              <w:left w:val="nil"/>
              <w:bottom w:val="nil"/>
              <w:right w:val="nil"/>
            </w:tcBorders>
            <w:shd w:val="clear" w:color="auto" w:fill="auto"/>
            <w:noWrap/>
            <w:vAlign w:val="bottom"/>
            <w:hideMark/>
          </w:tcPr>
          <w:p w:rsidR="00C642E4" w:rsidRDefault="00C642E4">
            <w:pPr>
              <w:jc w:val="center"/>
              <w:rPr>
                <w:sz w:val="20"/>
                <w:szCs w:val="20"/>
              </w:rPr>
            </w:pPr>
          </w:p>
        </w:tc>
        <w:tc>
          <w:tcPr>
            <w:tcW w:w="874" w:type="dxa"/>
            <w:tcBorders>
              <w:top w:val="nil"/>
              <w:left w:val="nil"/>
              <w:bottom w:val="nil"/>
              <w:right w:val="nil"/>
            </w:tcBorders>
            <w:shd w:val="clear" w:color="auto" w:fill="auto"/>
            <w:noWrap/>
            <w:vAlign w:val="bottom"/>
            <w:hideMark/>
          </w:tcPr>
          <w:p w:rsidR="00C642E4" w:rsidRDefault="00C642E4">
            <w:pPr>
              <w:jc w:val="center"/>
              <w:rPr>
                <w:sz w:val="20"/>
                <w:szCs w:val="20"/>
              </w:rPr>
            </w:pPr>
          </w:p>
        </w:tc>
        <w:tc>
          <w:tcPr>
            <w:tcW w:w="1628" w:type="dxa"/>
            <w:tcBorders>
              <w:top w:val="nil"/>
              <w:left w:val="nil"/>
              <w:bottom w:val="nil"/>
              <w:right w:val="nil"/>
            </w:tcBorders>
            <w:shd w:val="clear" w:color="auto" w:fill="auto"/>
            <w:noWrap/>
            <w:vAlign w:val="bottom"/>
            <w:hideMark/>
          </w:tcPr>
          <w:p w:rsidR="00C642E4" w:rsidRDefault="00C642E4">
            <w:pPr>
              <w:jc w:val="center"/>
              <w:rPr>
                <w:sz w:val="20"/>
                <w:szCs w:val="20"/>
              </w:rPr>
            </w:pPr>
          </w:p>
        </w:tc>
        <w:tc>
          <w:tcPr>
            <w:tcW w:w="1067" w:type="dxa"/>
            <w:tcBorders>
              <w:top w:val="nil"/>
              <w:left w:val="nil"/>
              <w:bottom w:val="nil"/>
              <w:right w:val="nil"/>
            </w:tcBorders>
            <w:shd w:val="clear" w:color="auto" w:fill="auto"/>
            <w:noWrap/>
            <w:vAlign w:val="bottom"/>
            <w:hideMark/>
          </w:tcPr>
          <w:p w:rsidR="00C642E4" w:rsidRDefault="00C642E4">
            <w:pPr>
              <w:jc w:val="center"/>
              <w:rPr>
                <w:sz w:val="20"/>
                <w:szCs w:val="20"/>
              </w:rPr>
            </w:pPr>
          </w:p>
        </w:tc>
      </w:tr>
      <w:tr w:rsidR="00C642E4" w:rsidTr="00C642E4">
        <w:trPr>
          <w:trHeight w:val="315"/>
        </w:trPr>
        <w:tc>
          <w:tcPr>
            <w:tcW w:w="4095" w:type="dxa"/>
            <w:tcBorders>
              <w:top w:val="nil"/>
              <w:left w:val="nil"/>
              <w:bottom w:val="nil"/>
              <w:right w:val="nil"/>
            </w:tcBorders>
            <w:shd w:val="clear" w:color="auto" w:fill="auto"/>
            <w:noWrap/>
            <w:vAlign w:val="bottom"/>
            <w:hideMark/>
          </w:tcPr>
          <w:p w:rsidR="00C642E4" w:rsidRDefault="00C642E4">
            <w:pPr>
              <w:jc w:val="center"/>
              <w:rPr>
                <w:sz w:val="20"/>
                <w:szCs w:val="20"/>
              </w:rPr>
            </w:pPr>
          </w:p>
        </w:tc>
        <w:tc>
          <w:tcPr>
            <w:tcW w:w="1617" w:type="dxa"/>
            <w:tcBorders>
              <w:top w:val="nil"/>
              <w:left w:val="nil"/>
              <w:bottom w:val="nil"/>
              <w:right w:val="single" w:sz="8" w:space="0" w:color="auto"/>
            </w:tcBorders>
            <w:shd w:val="clear" w:color="auto" w:fill="auto"/>
            <w:vAlign w:val="bottom"/>
            <w:hideMark/>
          </w:tcPr>
          <w:p w:rsidR="00C642E4" w:rsidRDefault="00C642E4">
            <w:pPr>
              <w:jc w:val="center"/>
              <w:rPr>
                <w:rFonts w:ascii="Arial" w:hAnsi="Arial" w:cs="Arial"/>
                <w:b/>
                <w:bCs/>
                <w:color w:val="000000"/>
                <w:sz w:val="20"/>
                <w:szCs w:val="20"/>
                <w:u w:val="single"/>
              </w:rPr>
            </w:pPr>
            <w:r>
              <w:rPr>
                <w:rFonts w:ascii="Arial" w:hAnsi="Arial" w:cs="Arial"/>
                <w:b/>
                <w:bCs/>
                <w:color w:val="000000"/>
                <w:sz w:val="20"/>
                <w:szCs w:val="20"/>
                <w:u w:val="single"/>
              </w:rPr>
              <w:t>31/12/2018</w:t>
            </w:r>
          </w:p>
        </w:tc>
        <w:tc>
          <w:tcPr>
            <w:tcW w:w="874" w:type="dxa"/>
            <w:tcBorders>
              <w:top w:val="nil"/>
              <w:left w:val="nil"/>
              <w:bottom w:val="nil"/>
              <w:right w:val="nil"/>
            </w:tcBorders>
            <w:shd w:val="clear" w:color="auto" w:fill="auto"/>
            <w:noWrap/>
            <w:vAlign w:val="bottom"/>
            <w:hideMark/>
          </w:tcPr>
          <w:p w:rsidR="00C642E4" w:rsidRDefault="00C642E4">
            <w:pPr>
              <w:jc w:val="center"/>
              <w:rPr>
                <w:rFonts w:ascii="Arial" w:hAnsi="Arial" w:cs="Arial"/>
                <w:b/>
                <w:bCs/>
                <w:color w:val="000000"/>
                <w:sz w:val="20"/>
                <w:szCs w:val="20"/>
              </w:rPr>
            </w:pPr>
            <w:r>
              <w:rPr>
                <w:rFonts w:ascii="Arial" w:hAnsi="Arial" w:cs="Arial"/>
                <w:b/>
                <w:bCs/>
                <w:color w:val="000000"/>
                <w:sz w:val="20"/>
                <w:szCs w:val="20"/>
              </w:rPr>
              <w:t>%</w:t>
            </w:r>
          </w:p>
        </w:tc>
        <w:tc>
          <w:tcPr>
            <w:tcW w:w="1628" w:type="dxa"/>
            <w:tcBorders>
              <w:top w:val="nil"/>
              <w:left w:val="nil"/>
              <w:bottom w:val="nil"/>
              <w:right w:val="single" w:sz="8" w:space="0" w:color="auto"/>
            </w:tcBorders>
            <w:shd w:val="clear" w:color="auto" w:fill="auto"/>
            <w:vAlign w:val="bottom"/>
            <w:hideMark/>
          </w:tcPr>
          <w:p w:rsidR="00C642E4" w:rsidRDefault="00C642E4">
            <w:pPr>
              <w:jc w:val="center"/>
              <w:rPr>
                <w:rFonts w:ascii="Arial" w:hAnsi="Arial" w:cs="Arial"/>
                <w:b/>
                <w:bCs/>
                <w:color w:val="000000"/>
                <w:sz w:val="20"/>
                <w:szCs w:val="20"/>
                <w:u w:val="single"/>
              </w:rPr>
            </w:pPr>
            <w:r>
              <w:rPr>
                <w:rFonts w:ascii="Arial" w:hAnsi="Arial" w:cs="Arial"/>
                <w:b/>
                <w:bCs/>
                <w:color w:val="000000"/>
                <w:sz w:val="20"/>
                <w:szCs w:val="20"/>
                <w:u w:val="single"/>
              </w:rPr>
              <w:t>31/12/2017</w:t>
            </w:r>
          </w:p>
        </w:tc>
        <w:tc>
          <w:tcPr>
            <w:tcW w:w="1067" w:type="dxa"/>
            <w:tcBorders>
              <w:top w:val="nil"/>
              <w:left w:val="nil"/>
              <w:bottom w:val="nil"/>
              <w:right w:val="nil"/>
            </w:tcBorders>
            <w:shd w:val="clear" w:color="auto" w:fill="auto"/>
            <w:vAlign w:val="bottom"/>
            <w:hideMark/>
          </w:tcPr>
          <w:p w:rsidR="00C642E4" w:rsidRDefault="00C642E4">
            <w:pPr>
              <w:jc w:val="center"/>
              <w:rPr>
                <w:rFonts w:ascii="Arial" w:hAnsi="Arial" w:cs="Arial"/>
                <w:b/>
                <w:bCs/>
                <w:color w:val="000000"/>
                <w:sz w:val="20"/>
                <w:szCs w:val="20"/>
                <w:u w:val="single"/>
              </w:rPr>
            </w:pPr>
          </w:p>
        </w:tc>
      </w:tr>
      <w:tr w:rsidR="00C642E4" w:rsidTr="00C642E4">
        <w:trPr>
          <w:trHeight w:val="315"/>
        </w:trPr>
        <w:tc>
          <w:tcPr>
            <w:tcW w:w="4095" w:type="dxa"/>
            <w:tcBorders>
              <w:top w:val="nil"/>
              <w:left w:val="nil"/>
              <w:bottom w:val="single" w:sz="8" w:space="0" w:color="auto"/>
              <w:right w:val="single" w:sz="8" w:space="0" w:color="auto"/>
            </w:tcBorders>
            <w:shd w:val="clear" w:color="auto" w:fill="auto"/>
            <w:noWrap/>
            <w:vAlign w:val="bottom"/>
            <w:hideMark/>
          </w:tcPr>
          <w:p w:rsidR="00C642E4" w:rsidRDefault="00C642E4">
            <w:pPr>
              <w:jc w:val="center"/>
              <w:rPr>
                <w:rFonts w:ascii="Arial" w:hAnsi="Arial" w:cs="Arial"/>
                <w:color w:val="000000"/>
                <w:sz w:val="22"/>
                <w:szCs w:val="22"/>
              </w:rPr>
            </w:pPr>
            <w:r>
              <w:rPr>
                <w:rFonts w:ascii="Arial" w:hAnsi="Arial" w:cs="Arial"/>
                <w:color w:val="000000"/>
                <w:sz w:val="22"/>
                <w:szCs w:val="22"/>
              </w:rPr>
              <w:t>Αποτέλεσμα προ τόκων και φόρων</w:t>
            </w:r>
          </w:p>
        </w:tc>
        <w:tc>
          <w:tcPr>
            <w:tcW w:w="1617" w:type="dxa"/>
            <w:tcBorders>
              <w:top w:val="nil"/>
              <w:left w:val="nil"/>
              <w:bottom w:val="single" w:sz="8" w:space="0" w:color="auto"/>
              <w:right w:val="single" w:sz="8" w:space="0" w:color="auto"/>
            </w:tcBorders>
            <w:shd w:val="clear" w:color="auto" w:fill="auto"/>
            <w:noWrap/>
            <w:vAlign w:val="bottom"/>
            <w:hideMark/>
          </w:tcPr>
          <w:p w:rsidR="00C642E4" w:rsidRDefault="00C642E4">
            <w:pPr>
              <w:jc w:val="right"/>
              <w:rPr>
                <w:rFonts w:ascii="Arial" w:hAnsi="Arial" w:cs="Arial"/>
                <w:color w:val="000000"/>
                <w:sz w:val="22"/>
                <w:szCs w:val="22"/>
              </w:rPr>
            </w:pPr>
            <w:r>
              <w:rPr>
                <w:rFonts w:ascii="Arial" w:hAnsi="Arial" w:cs="Arial"/>
                <w:color w:val="000000"/>
                <w:sz w:val="22"/>
                <w:szCs w:val="22"/>
              </w:rPr>
              <w:t>21.311,28</w:t>
            </w:r>
          </w:p>
        </w:tc>
        <w:tc>
          <w:tcPr>
            <w:tcW w:w="874" w:type="dxa"/>
            <w:vMerge w:val="restart"/>
            <w:tcBorders>
              <w:top w:val="nil"/>
              <w:left w:val="single" w:sz="8" w:space="0" w:color="auto"/>
              <w:bottom w:val="nil"/>
              <w:right w:val="single" w:sz="8" w:space="0" w:color="auto"/>
            </w:tcBorders>
            <w:shd w:val="clear" w:color="auto" w:fill="auto"/>
            <w:noWrap/>
            <w:vAlign w:val="center"/>
            <w:hideMark/>
          </w:tcPr>
          <w:p w:rsidR="00C642E4" w:rsidRDefault="00C642E4">
            <w:pPr>
              <w:jc w:val="right"/>
              <w:rPr>
                <w:rFonts w:ascii="Arial" w:hAnsi="Arial" w:cs="Arial"/>
                <w:color w:val="000000"/>
                <w:sz w:val="22"/>
                <w:szCs w:val="22"/>
              </w:rPr>
            </w:pPr>
            <w:r>
              <w:rPr>
                <w:rFonts w:ascii="Arial" w:hAnsi="Arial" w:cs="Arial"/>
                <w:color w:val="000000"/>
                <w:sz w:val="22"/>
                <w:szCs w:val="22"/>
              </w:rPr>
              <w:t>1,92%</w:t>
            </w:r>
          </w:p>
        </w:tc>
        <w:tc>
          <w:tcPr>
            <w:tcW w:w="1628" w:type="dxa"/>
            <w:tcBorders>
              <w:top w:val="nil"/>
              <w:left w:val="nil"/>
              <w:bottom w:val="single" w:sz="8" w:space="0" w:color="auto"/>
              <w:right w:val="single" w:sz="8" w:space="0" w:color="auto"/>
            </w:tcBorders>
            <w:shd w:val="clear" w:color="auto" w:fill="auto"/>
            <w:noWrap/>
            <w:vAlign w:val="bottom"/>
            <w:hideMark/>
          </w:tcPr>
          <w:p w:rsidR="00C642E4" w:rsidRDefault="00C642E4">
            <w:pPr>
              <w:jc w:val="right"/>
              <w:rPr>
                <w:rFonts w:ascii="Arial" w:hAnsi="Arial" w:cs="Arial"/>
                <w:color w:val="000000"/>
                <w:sz w:val="22"/>
                <w:szCs w:val="22"/>
              </w:rPr>
            </w:pPr>
            <w:r>
              <w:rPr>
                <w:rFonts w:ascii="Arial" w:hAnsi="Arial" w:cs="Arial"/>
                <w:color w:val="000000"/>
                <w:sz w:val="22"/>
                <w:szCs w:val="22"/>
              </w:rPr>
              <w:t>74.240,22</w:t>
            </w:r>
          </w:p>
        </w:tc>
        <w:tc>
          <w:tcPr>
            <w:tcW w:w="1067" w:type="dxa"/>
            <w:vMerge w:val="restart"/>
            <w:tcBorders>
              <w:top w:val="nil"/>
              <w:left w:val="single" w:sz="8" w:space="0" w:color="auto"/>
              <w:bottom w:val="nil"/>
              <w:right w:val="single" w:sz="8" w:space="0" w:color="auto"/>
            </w:tcBorders>
            <w:shd w:val="clear" w:color="auto" w:fill="auto"/>
            <w:noWrap/>
            <w:vAlign w:val="center"/>
            <w:hideMark/>
          </w:tcPr>
          <w:p w:rsidR="00C642E4" w:rsidRDefault="00C642E4">
            <w:pPr>
              <w:jc w:val="right"/>
              <w:rPr>
                <w:rFonts w:ascii="Arial" w:hAnsi="Arial" w:cs="Arial"/>
                <w:color w:val="000000"/>
                <w:sz w:val="22"/>
                <w:szCs w:val="22"/>
              </w:rPr>
            </w:pPr>
            <w:r>
              <w:rPr>
                <w:rFonts w:ascii="Arial" w:hAnsi="Arial" w:cs="Arial"/>
                <w:color w:val="000000"/>
                <w:sz w:val="22"/>
                <w:szCs w:val="22"/>
              </w:rPr>
              <w:t>6,00%</w:t>
            </w:r>
          </w:p>
        </w:tc>
      </w:tr>
      <w:tr w:rsidR="00C642E4" w:rsidTr="00C642E4">
        <w:trPr>
          <w:trHeight w:val="300"/>
        </w:trPr>
        <w:tc>
          <w:tcPr>
            <w:tcW w:w="4095" w:type="dxa"/>
            <w:tcBorders>
              <w:top w:val="nil"/>
              <w:left w:val="nil"/>
              <w:bottom w:val="nil"/>
              <w:right w:val="single" w:sz="8" w:space="0" w:color="auto"/>
            </w:tcBorders>
            <w:shd w:val="clear" w:color="auto" w:fill="auto"/>
            <w:noWrap/>
            <w:vAlign w:val="bottom"/>
            <w:hideMark/>
          </w:tcPr>
          <w:p w:rsidR="00C642E4" w:rsidRDefault="00C642E4">
            <w:pPr>
              <w:jc w:val="center"/>
              <w:rPr>
                <w:rFonts w:ascii="Arial" w:hAnsi="Arial" w:cs="Arial"/>
                <w:color w:val="000000"/>
                <w:sz w:val="22"/>
                <w:szCs w:val="22"/>
              </w:rPr>
            </w:pPr>
            <w:r>
              <w:rPr>
                <w:rFonts w:ascii="Arial" w:hAnsi="Arial" w:cs="Arial"/>
                <w:color w:val="000000"/>
                <w:sz w:val="22"/>
                <w:szCs w:val="22"/>
              </w:rPr>
              <w:t>Πωλήσεις αποθεμάτων &amp; υπηρεσιών</w:t>
            </w:r>
          </w:p>
        </w:tc>
        <w:tc>
          <w:tcPr>
            <w:tcW w:w="1617" w:type="dxa"/>
            <w:tcBorders>
              <w:top w:val="nil"/>
              <w:left w:val="nil"/>
              <w:bottom w:val="nil"/>
              <w:right w:val="single" w:sz="8" w:space="0" w:color="auto"/>
            </w:tcBorders>
            <w:shd w:val="clear" w:color="auto" w:fill="auto"/>
            <w:noWrap/>
            <w:vAlign w:val="bottom"/>
            <w:hideMark/>
          </w:tcPr>
          <w:p w:rsidR="00C642E4" w:rsidRDefault="00C642E4">
            <w:pPr>
              <w:jc w:val="right"/>
              <w:rPr>
                <w:rFonts w:ascii="Arial" w:hAnsi="Arial" w:cs="Arial"/>
                <w:color w:val="000000"/>
                <w:sz w:val="22"/>
                <w:szCs w:val="22"/>
              </w:rPr>
            </w:pPr>
            <w:r>
              <w:rPr>
                <w:rFonts w:ascii="Arial" w:hAnsi="Arial" w:cs="Arial"/>
                <w:color w:val="000000"/>
                <w:sz w:val="22"/>
                <w:szCs w:val="22"/>
              </w:rPr>
              <w:t>1.112.406,13</w:t>
            </w:r>
          </w:p>
        </w:tc>
        <w:tc>
          <w:tcPr>
            <w:tcW w:w="874" w:type="dxa"/>
            <w:vMerge/>
            <w:tcBorders>
              <w:top w:val="nil"/>
              <w:left w:val="single" w:sz="8" w:space="0" w:color="auto"/>
              <w:bottom w:val="nil"/>
              <w:right w:val="single" w:sz="8" w:space="0" w:color="auto"/>
            </w:tcBorders>
            <w:vAlign w:val="center"/>
            <w:hideMark/>
          </w:tcPr>
          <w:p w:rsidR="00C642E4" w:rsidRDefault="00C642E4">
            <w:pPr>
              <w:rPr>
                <w:rFonts w:ascii="Arial" w:hAnsi="Arial" w:cs="Arial"/>
                <w:color w:val="000000"/>
                <w:sz w:val="22"/>
                <w:szCs w:val="22"/>
              </w:rPr>
            </w:pPr>
          </w:p>
        </w:tc>
        <w:tc>
          <w:tcPr>
            <w:tcW w:w="1628" w:type="dxa"/>
            <w:tcBorders>
              <w:top w:val="nil"/>
              <w:left w:val="nil"/>
              <w:bottom w:val="nil"/>
              <w:right w:val="single" w:sz="8" w:space="0" w:color="auto"/>
            </w:tcBorders>
            <w:shd w:val="clear" w:color="auto" w:fill="auto"/>
            <w:noWrap/>
            <w:vAlign w:val="bottom"/>
            <w:hideMark/>
          </w:tcPr>
          <w:p w:rsidR="00C642E4" w:rsidRDefault="00C642E4">
            <w:pPr>
              <w:jc w:val="right"/>
              <w:rPr>
                <w:rFonts w:ascii="Arial" w:hAnsi="Arial" w:cs="Arial"/>
                <w:color w:val="000000"/>
                <w:sz w:val="22"/>
                <w:szCs w:val="22"/>
              </w:rPr>
            </w:pPr>
            <w:r>
              <w:rPr>
                <w:rFonts w:ascii="Arial" w:hAnsi="Arial" w:cs="Arial"/>
                <w:color w:val="000000"/>
                <w:sz w:val="22"/>
                <w:szCs w:val="22"/>
              </w:rPr>
              <w:t>1.237.610,60</w:t>
            </w:r>
          </w:p>
        </w:tc>
        <w:tc>
          <w:tcPr>
            <w:tcW w:w="1067" w:type="dxa"/>
            <w:vMerge/>
            <w:tcBorders>
              <w:top w:val="nil"/>
              <w:left w:val="single" w:sz="8" w:space="0" w:color="auto"/>
              <w:bottom w:val="nil"/>
              <w:right w:val="single" w:sz="8" w:space="0" w:color="auto"/>
            </w:tcBorders>
            <w:vAlign w:val="center"/>
            <w:hideMark/>
          </w:tcPr>
          <w:p w:rsidR="00C642E4" w:rsidRDefault="00C642E4">
            <w:pPr>
              <w:rPr>
                <w:rFonts w:ascii="Arial" w:hAnsi="Arial" w:cs="Arial"/>
                <w:color w:val="000000"/>
                <w:sz w:val="22"/>
                <w:szCs w:val="22"/>
              </w:rPr>
            </w:pPr>
          </w:p>
        </w:tc>
      </w:tr>
      <w:tr w:rsidR="00C642E4" w:rsidTr="00C642E4">
        <w:trPr>
          <w:trHeight w:val="315"/>
        </w:trPr>
        <w:tc>
          <w:tcPr>
            <w:tcW w:w="4095" w:type="dxa"/>
            <w:tcBorders>
              <w:top w:val="nil"/>
              <w:left w:val="nil"/>
              <w:bottom w:val="nil"/>
              <w:right w:val="nil"/>
            </w:tcBorders>
            <w:shd w:val="clear" w:color="auto" w:fill="auto"/>
            <w:noWrap/>
            <w:vAlign w:val="bottom"/>
            <w:hideMark/>
          </w:tcPr>
          <w:p w:rsidR="00C642E4" w:rsidRDefault="00C642E4">
            <w:pPr>
              <w:jc w:val="right"/>
              <w:rPr>
                <w:rFonts w:ascii="Arial" w:hAnsi="Arial" w:cs="Arial"/>
                <w:color w:val="000000"/>
                <w:sz w:val="22"/>
                <w:szCs w:val="22"/>
              </w:rPr>
            </w:pPr>
          </w:p>
        </w:tc>
        <w:tc>
          <w:tcPr>
            <w:tcW w:w="1617" w:type="dxa"/>
            <w:tcBorders>
              <w:top w:val="nil"/>
              <w:left w:val="nil"/>
              <w:bottom w:val="nil"/>
              <w:right w:val="nil"/>
            </w:tcBorders>
            <w:shd w:val="clear" w:color="auto" w:fill="auto"/>
            <w:noWrap/>
            <w:vAlign w:val="bottom"/>
            <w:hideMark/>
          </w:tcPr>
          <w:p w:rsidR="00C642E4" w:rsidRDefault="00C642E4">
            <w:pPr>
              <w:rPr>
                <w:sz w:val="20"/>
                <w:szCs w:val="20"/>
              </w:rPr>
            </w:pPr>
          </w:p>
        </w:tc>
        <w:tc>
          <w:tcPr>
            <w:tcW w:w="874" w:type="dxa"/>
            <w:tcBorders>
              <w:top w:val="nil"/>
              <w:left w:val="nil"/>
              <w:bottom w:val="nil"/>
              <w:right w:val="nil"/>
            </w:tcBorders>
            <w:shd w:val="clear" w:color="auto" w:fill="auto"/>
            <w:noWrap/>
            <w:vAlign w:val="bottom"/>
            <w:hideMark/>
          </w:tcPr>
          <w:p w:rsidR="00C642E4" w:rsidRDefault="00C642E4">
            <w:pPr>
              <w:rPr>
                <w:sz w:val="20"/>
                <w:szCs w:val="20"/>
              </w:rPr>
            </w:pPr>
          </w:p>
        </w:tc>
        <w:tc>
          <w:tcPr>
            <w:tcW w:w="1628" w:type="dxa"/>
            <w:tcBorders>
              <w:top w:val="nil"/>
              <w:left w:val="nil"/>
              <w:bottom w:val="nil"/>
              <w:right w:val="nil"/>
            </w:tcBorders>
            <w:shd w:val="clear" w:color="auto" w:fill="auto"/>
            <w:noWrap/>
            <w:vAlign w:val="bottom"/>
            <w:hideMark/>
          </w:tcPr>
          <w:p w:rsidR="00C642E4" w:rsidRDefault="00C642E4">
            <w:pPr>
              <w:rPr>
                <w:sz w:val="20"/>
                <w:szCs w:val="20"/>
              </w:rPr>
            </w:pPr>
          </w:p>
        </w:tc>
        <w:tc>
          <w:tcPr>
            <w:tcW w:w="1067" w:type="dxa"/>
            <w:tcBorders>
              <w:top w:val="nil"/>
              <w:left w:val="nil"/>
              <w:bottom w:val="nil"/>
              <w:right w:val="nil"/>
            </w:tcBorders>
            <w:shd w:val="clear" w:color="auto" w:fill="auto"/>
            <w:vAlign w:val="bottom"/>
            <w:hideMark/>
          </w:tcPr>
          <w:p w:rsidR="00C642E4" w:rsidRDefault="00C642E4">
            <w:pPr>
              <w:rPr>
                <w:sz w:val="20"/>
                <w:szCs w:val="20"/>
              </w:rPr>
            </w:pPr>
          </w:p>
        </w:tc>
      </w:tr>
      <w:tr w:rsidR="00C642E4" w:rsidTr="00C642E4">
        <w:trPr>
          <w:trHeight w:val="765"/>
        </w:trPr>
        <w:tc>
          <w:tcPr>
            <w:tcW w:w="9281" w:type="dxa"/>
            <w:gridSpan w:val="5"/>
            <w:tcBorders>
              <w:top w:val="nil"/>
              <w:left w:val="nil"/>
              <w:bottom w:val="nil"/>
              <w:right w:val="nil"/>
            </w:tcBorders>
            <w:shd w:val="clear" w:color="auto" w:fill="auto"/>
            <w:vAlign w:val="bottom"/>
            <w:hideMark/>
          </w:tcPr>
          <w:p w:rsidR="00C642E4" w:rsidRDefault="00C642E4">
            <w:pPr>
              <w:jc w:val="both"/>
              <w:rPr>
                <w:rFonts w:ascii="Arial" w:hAnsi="Arial" w:cs="Arial"/>
                <w:color w:val="000000"/>
                <w:sz w:val="22"/>
                <w:szCs w:val="22"/>
              </w:rPr>
            </w:pPr>
            <w:r>
              <w:rPr>
                <w:rFonts w:ascii="Arial" w:hAnsi="Arial" w:cs="Arial"/>
                <w:color w:val="000000"/>
                <w:sz w:val="22"/>
                <w:szCs w:val="22"/>
              </w:rPr>
              <w:t>Ο αριθμοδείκτης αυτός απεικονίζει την απόδοση της εταιρείας χωρίς το συνυπολογισμό των εκτάκτων και ανόργανων αποτελεσμάτων.</w:t>
            </w:r>
          </w:p>
        </w:tc>
      </w:tr>
      <w:tr w:rsidR="00C642E4" w:rsidTr="00C642E4">
        <w:trPr>
          <w:trHeight w:val="315"/>
        </w:trPr>
        <w:tc>
          <w:tcPr>
            <w:tcW w:w="4095" w:type="dxa"/>
            <w:tcBorders>
              <w:top w:val="nil"/>
              <w:left w:val="nil"/>
              <w:bottom w:val="nil"/>
              <w:right w:val="nil"/>
            </w:tcBorders>
            <w:shd w:val="clear" w:color="auto" w:fill="auto"/>
            <w:noWrap/>
            <w:vAlign w:val="bottom"/>
            <w:hideMark/>
          </w:tcPr>
          <w:p w:rsidR="00C642E4" w:rsidRDefault="00C642E4">
            <w:pPr>
              <w:jc w:val="both"/>
              <w:rPr>
                <w:rFonts w:ascii="Arial" w:hAnsi="Arial" w:cs="Arial"/>
                <w:color w:val="000000"/>
                <w:sz w:val="22"/>
                <w:szCs w:val="22"/>
              </w:rPr>
            </w:pPr>
          </w:p>
        </w:tc>
        <w:tc>
          <w:tcPr>
            <w:tcW w:w="1617" w:type="dxa"/>
            <w:tcBorders>
              <w:top w:val="nil"/>
              <w:left w:val="nil"/>
              <w:bottom w:val="nil"/>
              <w:right w:val="nil"/>
            </w:tcBorders>
            <w:shd w:val="clear" w:color="auto" w:fill="auto"/>
            <w:noWrap/>
            <w:vAlign w:val="bottom"/>
            <w:hideMark/>
          </w:tcPr>
          <w:p w:rsidR="00C642E4" w:rsidRDefault="00C642E4">
            <w:pPr>
              <w:rPr>
                <w:sz w:val="20"/>
                <w:szCs w:val="20"/>
              </w:rPr>
            </w:pPr>
          </w:p>
        </w:tc>
        <w:tc>
          <w:tcPr>
            <w:tcW w:w="874" w:type="dxa"/>
            <w:tcBorders>
              <w:top w:val="nil"/>
              <w:left w:val="nil"/>
              <w:bottom w:val="nil"/>
              <w:right w:val="nil"/>
            </w:tcBorders>
            <w:shd w:val="clear" w:color="auto" w:fill="auto"/>
            <w:noWrap/>
            <w:vAlign w:val="bottom"/>
            <w:hideMark/>
          </w:tcPr>
          <w:p w:rsidR="00C642E4" w:rsidRDefault="00C642E4">
            <w:pPr>
              <w:rPr>
                <w:sz w:val="20"/>
                <w:szCs w:val="20"/>
              </w:rPr>
            </w:pPr>
          </w:p>
        </w:tc>
        <w:tc>
          <w:tcPr>
            <w:tcW w:w="1628" w:type="dxa"/>
            <w:tcBorders>
              <w:top w:val="nil"/>
              <w:left w:val="nil"/>
              <w:bottom w:val="nil"/>
              <w:right w:val="nil"/>
            </w:tcBorders>
            <w:shd w:val="clear" w:color="auto" w:fill="auto"/>
            <w:noWrap/>
            <w:vAlign w:val="bottom"/>
            <w:hideMark/>
          </w:tcPr>
          <w:p w:rsidR="00C642E4" w:rsidRDefault="00C642E4">
            <w:pPr>
              <w:rPr>
                <w:sz w:val="20"/>
                <w:szCs w:val="20"/>
              </w:rPr>
            </w:pPr>
          </w:p>
        </w:tc>
        <w:tc>
          <w:tcPr>
            <w:tcW w:w="1067" w:type="dxa"/>
            <w:tcBorders>
              <w:top w:val="nil"/>
              <w:left w:val="nil"/>
              <w:bottom w:val="nil"/>
              <w:right w:val="nil"/>
            </w:tcBorders>
            <w:shd w:val="clear" w:color="auto" w:fill="auto"/>
            <w:vAlign w:val="bottom"/>
            <w:hideMark/>
          </w:tcPr>
          <w:p w:rsidR="00C642E4" w:rsidRDefault="00C642E4">
            <w:pPr>
              <w:rPr>
                <w:sz w:val="20"/>
                <w:szCs w:val="20"/>
              </w:rPr>
            </w:pPr>
          </w:p>
        </w:tc>
      </w:tr>
      <w:tr w:rsidR="00C642E4" w:rsidTr="00C642E4">
        <w:trPr>
          <w:trHeight w:val="315"/>
        </w:trPr>
        <w:tc>
          <w:tcPr>
            <w:tcW w:w="4095" w:type="dxa"/>
            <w:tcBorders>
              <w:top w:val="nil"/>
              <w:left w:val="nil"/>
              <w:bottom w:val="single" w:sz="8" w:space="0" w:color="auto"/>
              <w:right w:val="single" w:sz="8" w:space="0" w:color="auto"/>
            </w:tcBorders>
            <w:shd w:val="clear" w:color="auto" w:fill="auto"/>
            <w:noWrap/>
            <w:vAlign w:val="bottom"/>
            <w:hideMark/>
          </w:tcPr>
          <w:p w:rsidR="00C642E4" w:rsidRDefault="00C642E4">
            <w:pPr>
              <w:jc w:val="center"/>
              <w:rPr>
                <w:rFonts w:ascii="Arial" w:hAnsi="Arial" w:cs="Arial"/>
                <w:color w:val="000000"/>
                <w:sz w:val="22"/>
                <w:szCs w:val="22"/>
              </w:rPr>
            </w:pPr>
            <w:r>
              <w:rPr>
                <w:rFonts w:ascii="Arial" w:hAnsi="Arial" w:cs="Arial"/>
                <w:color w:val="000000"/>
                <w:sz w:val="22"/>
                <w:szCs w:val="22"/>
              </w:rPr>
              <w:t>Αποτελέσματα χρήσεως προ φόρων</w:t>
            </w:r>
          </w:p>
        </w:tc>
        <w:tc>
          <w:tcPr>
            <w:tcW w:w="1617" w:type="dxa"/>
            <w:tcBorders>
              <w:top w:val="nil"/>
              <w:left w:val="nil"/>
              <w:bottom w:val="single" w:sz="8" w:space="0" w:color="auto"/>
              <w:right w:val="single" w:sz="8" w:space="0" w:color="auto"/>
            </w:tcBorders>
            <w:shd w:val="clear" w:color="auto" w:fill="auto"/>
            <w:noWrap/>
            <w:vAlign w:val="bottom"/>
            <w:hideMark/>
          </w:tcPr>
          <w:p w:rsidR="00C642E4" w:rsidRDefault="00C642E4">
            <w:pPr>
              <w:jc w:val="right"/>
              <w:rPr>
                <w:rFonts w:ascii="Arial" w:hAnsi="Arial" w:cs="Arial"/>
                <w:color w:val="000000"/>
                <w:sz w:val="22"/>
                <w:szCs w:val="22"/>
              </w:rPr>
            </w:pPr>
            <w:r>
              <w:rPr>
                <w:rFonts w:ascii="Arial" w:hAnsi="Arial" w:cs="Arial"/>
                <w:color w:val="000000"/>
                <w:sz w:val="22"/>
                <w:szCs w:val="22"/>
              </w:rPr>
              <w:t>18.998,24</w:t>
            </w:r>
          </w:p>
        </w:tc>
        <w:tc>
          <w:tcPr>
            <w:tcW w:w="874" w:type="dxa"/>
            <w:vMerge w:val="restart"/>
            <w:tcBorders>
              <w:top w:val="nil"/>
              <w:left w:val="single" w:sz="8" w:space="0" w:color="auto"/>
              <w:bottom w:val="nil"/>
              <w:right w:val="single" w:sz="8" w:space="0" w:color="auto"/>
            </w:tcBorders>
            <w:shd w:val="clear" w:color="auto" w:fill="auto"/>
            <w:noWrap/>
            <w:vAlign w:val="center"/>
            <w:hideMark/>
          </w:tcPr>
          <w:p w:rsidR="00C642E4" w:rsidRDefault="00C642E4">
            <w:pPr>
              <w:jc w:val="right"/>
              <w:rPr>
                <w:rFonts w:ascii="Arial" w:hAnsi="Arial" w:cs="Arial"/>
                <w:color w:val="000000"/>
                <w:sz w:val="22"/>
                <w:szCs w:val="22"/>
              </w:rPr>
            </w:pPr>
            <w:r>
              <w:rPr>
                <w:rFonts w:ascii="Arial" w:hAnsi="Arial" w:cs="Arial"/>
                <w:color w:val="000000"/>
                <w:sz w:val="22"/>
                <w:szCs w:val="22"/>
              </w:rPr>
              <w:t>1,58%</w:t>
            </w:r>
          </w:p>
        </w:tc>
        <w:tc>
          <w:tcPr>
            <w:tcW w:w="1628" w:type="dxa"/>
            <w:tcBorders>
              <w:top w:val="nil"/>
              <w:left w:val="nil"/>
              <w:bottom w:val="single" w:sz="8" w:space="0" w:color="auto"/>
              <w:right w:val="single" w:sz="8" w:space="0" w:color="auto"/>
            </w:tcBorders>
            <w:shd w:val="clear" w:color="auto" w:fill="auto"/>
            <w:noWrap/>
            <w:vAlign w:val="bottom"/>
            <w:hideMark/>
          </w:tcPr>
          <w:p w:rsidR="00C642E4" w:rsidRDefault="00C642E4">
            <w:pPr>
              <w:jc w:val="right"/>
              <w:rPr>
                <w:rFonts w:ascii="Arial" w:hAnsi="Arial" w:cs="Arial"/>
                <w:color w:val="000000"/>
                <w:sz w:val="22"/>
                <w:szCs w:val="22"/>
              </w:rPr>
            </w:pPr>
            <w:r>
              <w:rPr>
                <w:rFonts w:ascii="Arial" w:hAnsi="Arial" w:cs="Arial"/>
                <w:color w:val="000000"/>
                <w:sz w:val="22"/>
                <w:szCs w:val="22"/>
              </w:rPr>
              <w:t>72.834,85</w:t>
            </w:r>
          </w:p>
        </w:tc>
        <w:tc>
          <w:tcPr>
            <w:tcW w:w="1067" w:type="dxa"/>
            <w:vMerge w:val="restart"/>
            <w:tcBorders>
              <w:top w:val="nil"/>
              <w:left w:val="single" w:sz="8" w:space="0" w:color="auto"/>
              <w:bottom w:val="nil"/>
              <w:right w:val="single" w:sz="8" w:space="0" w:color="auto"/>
            </w:tcBorders>
            <w:shd w:val="clear" w:color="auto" w:fill="auto"/>
            <w:noWrap/>
            <w:vAlign w:val="center"/>
            <w:hideMark/>
          </w:tcPr>
          <w:p w:rsidR="00C642E4" w:rsidRDefault="00C642E4">
            <w:pPr>
              <w:jc w:val="right"/>
              <w:rPr>
                <w:rFonts w:ascii="Arial" w:hAnsi="Arial" w:cs="Arial"/>
                <w:color w:val="000000"/>
                <w:sz w:val="22"/>
                <w:szCs w:val="22"/>
              </w:rPr>
            </w:pPr>
            <w:r>
              <w:rPr>
                <w:rFonts w:ascii="Arial" w:hAnsi="Arial" w:cs="Arial"/>
                <w:color w:val="000000"/>
                <w:sz w:val="22"/>
                <w:szCs w:val="22"/>
              </w:rPr>
              <w:t>5,68%</w:t>
            </w:r>
          </w:p>
        </w:tc>
      </w:tr>
      <w:tr w:rsidR="00C642E4" w:rsidTr="00C642E4">
        <w:trPr>
          <w:trHeight w:val="300"/>
        </w:trPr>
        <w:tc>
          <w:tcPr>
            <w:tcW w:w="4095" w:type="dxa"/>
            <w:tcBorders>
              <w:top w:val="nil"/>
              <w:left w:val="nil"/>
              <w:bottom w:val="nil"/>
              <w:right w:val="single" w:sz="8" w:space="0" w:color="auto"/>
            </w:tcBorders>
            <w:shd w:val="clear" w:color="auto" w:fill="auto"/>
            <w:noWrap/>
            <w:vAlign w:val="bottom"/>
            <w:hideMark/>
          </w:tcPr>
          <w:p w:rsidR="00C642E4" w:rsidRDefault="00C642E4">
            <w:pPr>
              <w:jc w:val="center"/>
              <w:rPr>
                <w:rFonts w:ascii="Arial" w:hAnsi="Arial" w:cs="Arial"/>
                <w:color w:val="000000"/>
                <w:sz w:val="22"/>
                <w:szCs w:val="22"/>
              </w:rPr>
            </w:pPr>
            <w:r>
              <w:rPr>
                <w:rFonts w:ascii="Arial" w:hAnsi="Arial" w:cs="Arial"/>
                <w:color w:val="000000"/>
                <w:sz w:val="22"/>
                <w:szCs w:val="22"/>
              </w:rPr>
              <w:t>Σύνολο εσόδων</w:t>
            </w:r>
          </w:p>
        </w:tc>
        <w:tc>
          <w:tcPr>
            <w:tcW w:w="1617" w:type="dxa"/>
            <w:tcBorders>
              <w:top w:val="nil"/>
              <w:left w:val="nil"/>
              <w:bottom w:val="nil"/>
              <w:right w:val="single" w:sz="8" w:space="0" w:color="auto"/>
            </w:tcBorders>
            <w:shd w:val="clear" w:color="auto" w:fill="auto"/>
            <w:noWrap/>
            <w:vAlign w:val="bottom"/>
            <w:hideMark/>
          </w:tcPr>
          <w:p w:rsidR="00C642E4" w:rsidRDefault="00C642E4">
            <w:pPr>
              <w:jc w:val="right"/>
              <w:rPr>
                <w:rFonts w:ascii="Arial" w:hAnsi="Arial" w:cs="Arial"/>
                <w:color w:val="000000"/>
                <w:sz w:val="22"/>
                <w:szCs w:val="22"/>
              </w:rPr>
            </w:pPr>
            <w:r>
              <w:rPr>
                <w:rFonts w:ascii="Arial" w:hAnsi="Arial" w:cs="Arial"/>
                <w:color w:val="000000"/>
                <w:sz w:val="22"/>
                <w:szCs w:val="22"/>
              </w:rPr>
              <w:t>1.199.185,35</w:t>
            </w:r>
          </w:p>
        </w:tc>
        <w:tc>
          <w:tcPr>
            <w:tcW w:w="874" w:type="dxa"/>
            <w:vMerge/>
            <w:tcBorders>
              <w:top w:val="nil"/>
              <w:left w:val="single" w:sz="8" w:space="0" w:color="auto"/>
              <w:bottom w:val="nil"/>
              <w:right w:val="single" w:sz="8" w:space="0" w:color="auto"/>
            </w:tcBorders>
            <w:vAlign w:val="center"/>
            <w:hideMark/>
          </w:tcPr>
          <w:p w:rsidR="00C642E4" w:rsidRDefault="00C642E4">
            <w:pPr>
              <w:rPr>
                <w:rFonts w:ascii="Arial" w:hAnsi="Arial" w:cs="Arial"/>
                <w:color w:val="000000"/>
                <w:sz w:val="22"/>
                <w:szCs w:val="22"/>
              </w:rPr>
            </w:pPr>
          </w:p>
        </w:tc>
        <w:tc>
          <w:tcPr>
            <w:tcW w:w="1628" w:type="dxa"/>
            <w:tcBorders>
              <w:top w:val="nil"/>
              <w:left w:val="nil"/>
              <w:bottom w:val="nil"/>
              <w:right w:val="single" w:sz="8" w:space="0" w:color="auto"/>
            </w:tcBorders>
            <w:shd w:val="clear" w:color="auto" w:fill="auto"/>
            <w:noWrap/>
            <w:vAlign w:val="bottom"/>
            <w:hideMark/>
          </w:tcPr>
          <w:p w:rsidR="00C642E4" w:rsidRDefault="00C642E4">
            <w:pPr>
              <w:jc w:val="right"/>
              <w:rPr>
                <w:rFonts w:ascii="Arial" w:hAnsi="Arial" w:cs="Arial"/>
                <w:color w:val="000000"/>
                <w:sz w:val="22"/>
                <w:szCs w:val="22"/>
              </w:rPr>
            </w:pPr>
            <w:r>
              <w:rPr>
                <w:rFonts w:ascii="Arial" w:hAnsi="Arial" w:cs="Arial"/>
                <w:color w:val="000000"/>
                <w:sz w:val="22"/>
                <w:szCs w:val="22"/>
              </w:rPr>
              <w:t>1.282.994,34</w:t>
            </w:r>
          </w:p>
        </w:tc>
        <w:tc>
          <w:tcPr>
            <w:tcW w:w="1067" w:type="dxa"/>
            <w:vMerge/>
            <w:tcBorders>
              <w:top w:val="nil"/>
              <w:left w:val="single" w:sz="8" w:space="0" w:color="auto"/>
              <w:bottom w:val="nil"/>
              <w:right w:val="single" w:sz="8" w:space="0" w:color="auto"/>
            </w:tcBorders>
            <w:vAlign w:val="center"/>
            <w:hideMark/>
          </w:tcPr>
          <w:p w:rsidR="00C642E4" w:rsidRDefault="00C642E4">
            <w:pPr>
              <w:rPr>
                <w:rFonts w:ascii="Arial" w:hAnsi="Arial" w:cs="Arial"/>
                <w:color w:val="000000"/>
                <w:sz w:val="22"/>
                <w:szCs w:val="22"/>
              </w:rPr>
            </w:pPr>
          </w:p>
        </w:tc>
      </w:tr>
      <w:tr w:rsidR="00C642E4" w:rsidTr="00C642E4">
        <w:trPr>
          <w:trHeight w:val="315"/>
        </w:trPr>
        <w:tc>
          <w:tcPr>
            <w:tcW w:w="4095" w:type="dxa"/>
            <w:tcBorders>
              <w:top w:val="nil"/>
              <w:left w:val="nil"/>
              <w:bottom w:val="nil"/>
              <w:right w:val="nil"/>
            </w:tcBorders>
            <w:shd w:val="clear" w:color="auto" w:fill="auto"/>
            <w:noWrap/>
            <w:vAlign w:val="bottom"/>
            <w:hideMark/>
          </w:tcPr>
          <w:p w:rsidR="00C642E4" w:rsidRDefault="00C642E4">
            <w:pPr>
              <w:jc w:val="right"/>
              <w:rPr>
                <w:rFonts w:ascii="Arial" w:hAnsi="Arial" w:cs="Arial"/>
                <w:color w:val="000000"/>
                <w:sz w:val="22"/>
                <w:szCs w:val="22"/>
              </w:rPr>
            </w:pPr>
          </w:p>
        </w:tc>
        <w:tc>
          <w:tcPr>
            <w:tcW w:w="1617" w:type="dxa"/>
            <w:tcBorders>
              <w:top w:val="nil"/>
              <w:left w:val="nil"/>
              <w:bottom w:val="nil"/>
              <w:right w:val="nil"/>
            </w:tcBorders>
            <w:shd w:val="clear" w:color="auto" w:fill="auto"/>
            <w:noWrap/>
            <w:vAlign w:val="bottom"/>
            <w:hideMark/>
          </w:tcPr>
          <w:p w:rsidR="00C642E4" w:rsidRDefault="00C642E4">
            <w:pPr>
              <w:rPr>
                <w:sz w:val="20"/>
                <w:szCs w:val="20"/>
              </w:rPr>
            </w:pPr>
          </w:p>
        </w:tc>
        <w:tc>
          <w:tcPr>
            <w:tcW w:w="874" w:type="dxa"/>
            <w:tcBorders>
              <w:top w:val="nil"/>
              <w:left w:val="nil"/>
              <w:bottom w:val="nil"/>
              <w:right w:val="nil"/>
            </w:tcBorders>
            <w:shd w:val="clear" w:color="auto" w:fill="auto"/>
            <w:noWrap/>
            <w:vAlign w:val="bottom"/>
            <w:hideMark/>
          </w:tcPr>
          <w:p w:rsidR="00C642E4" w:rsidRDefault="00C642E4">
            <w:pPr>
              <w:rPr>
                <w:sz w:val="20"/>
                <w:szCs w:val="20"/>
              </w:rPr>
            </w:pPr>
          </w:p>
        </w:tc>
        <w:tc>
          <w:tcPr>
            <w:tcW w:w="1628" w:type="dxa"/>
            <w:tcBorders>
              <w:top w:val="nil"/>
              <w:left w:val="nil"/>
              <w:bottom w:val="nil"/>
              <w:right w:val="nil"/>
            </w:tcBorders>
            <w:shd w:val="clear" w:color="auto" w:fill="auto"/>
            <w:noWrap/>
            <w:vAlign w:val="bottom"/>
            <w:hideMark/>
          </w:tcPr>
          <w:p w:rsidR="00C642E4" w:rsidRDefault="00C642E4">
            <w:pPr>
              <w:rPr>
                <w:sz w:val="20"/>
                <w:szCs w:val="20"/>
              </w:rPr>
            </w:pPr>
          </w:p>
        </w:tc>
        <w:tc>
          <w:tcPr>
            <w:tcW w:w="1067" w:type="dxa"/>
            <w:tcBorders>
              <w:top w:val="nil"/>
              <w:left w:val="nil"/>
              <w:bottom w:val="nil"/>
              <w:right w:val="nil"/>
            </w:tcBorders>
            <w:shd w:val="clear" w:color="auto" w:fill="auto"/>
            <w:vAlign w:val="bottom"/>
            <w:hideMark/>
          </w:tcPr>
          <w:p w:rsidR="00C642E4" w:rsidRDefault="00C642E4">
            <w:pPr>
              <w:rPr>
                <w:sz w:val="20"/>
                <w:szCs w:val="20"/>
              </w:rPr>
            </w:pPr>
          </w:p>
        </w:tc>
      </w:tr>
      <w:tr w:rsidR="00C642E4" w:rsidTr="00C642E4">
        <w:trPr>
          <w:trHeight w:val="930"/>
        </w:trPr>
        <w:tc>
          <w:tcPr>
            <w:tcW w:w="9281" w:type="dxa"/>
            <w:gridSpan w:val="5"/>
            <w:tcBorders>
              <w:top w:val="nil"/>
              <w:left w:val="nil"/>
              <w:bottom w:val="nil"/>
              <w:right w:val="nil"/>
            </w:tcBorders>
            <w:shd w:val="clear" w:color="auto" w:fill="auto"/>
            <w:vAlign w:val="bottom"/>
            <w:hideMark/>
          </w:tcPr>
          <w:p w:rsidR="00C642E4" w:rsidRDefault="00C642E4">
            <w:pPr>
              <w:jc w:val="both"/>
              <w:rPr>
                <w:rFonts w:ascii="Arial" w:hAnsi="Arial" w:cs="Arial"/>
                <w:color w:val="000000"/>
                <w:sz w:val="22"/>
                <w:szCs w:val="22"/>
              </w:rPr>
            </w:pPr>
            <w:r>
              <w:rPr>
                <w:rFonts w:ascii="Arial" w:hAnsi="Arial" w:cs="Arial"/>
                <w:color w:val="000000"/>
                <w:sz w:val="22"/>
                <w:szCs w:val="22"/>
              </w:rPr>
              <w:t>Ο αριθμοδείκτης αυτός απεικονίζει την συνολική απόδοση της εταιρείας σε σύγκριση με τα συνολικά της έσοδα</w:t>
            </w:r>
          </w:p>
        </w:tc>
      </w:tr>
      <w:tr w:rsidR="00C642E4" w:rsidTr="00C642E4">
        <w:trPr>
          <w:trHeight w:val="315"/>
        </w:trPr>
        <w:tc>
          <w:tcPr>
            <w:tcW w:w="4095" w:type="dxa"/>
            <w:tcBorders>
              <w:top w:val="nil"/>
              <w:left w:val="nil"/>
              <w:bottom w:val="nil"/>
              <w:right w:val="nil"/>
            </w:tcBorders>
            <w:shd w:val="clear" w:color="auto" w:fill="auto"/>
            <w:noWrap/>
            <w:vAlign w:val="bottom"/>
            <w:hideMark/>
          </w:tcPr>
          <w:p w:rsidR="00C642E4" w:rsidRDefault="00C642E4">
            <w:pPr>
              <w:jc w:val="both"/>
              <w:rPr>
                <w:rFonts w:ascii="Arial" w:hAnsi="Arial" w:cs="Arial"/>
                <w:color w:val="000000"/>
                <w:sz w:val="22"/>
                <w:szCs w:val="22"/>
              </w:rPr>
            </w:pPr>
          </w:p>
        </w:tc>
        <w:tc>
          <w:tcPr>
            <w:tcW w:w="1617" w:type="dxa"/>
            <w:tcBorders>
              <w:top w:val="nil"/>
              <w:left w:val="nil"/>
              <w:bottom w:val="nil"/>
              <w:right w:val="nil"/>
            </w:tcBorders>
            <w:shd w:val="clear" w:color="auto" w:fill="auto"/>
            <w:noWrap/>
            <w:vAlign w:val="bottom"/>
            <w:hideMark/>
          </w:tcPr>
          <w:p w:rsidR="00C642E4" w:rsidRDefault="00C642E4">
            <w:pPr>
              <w:rPr>
                <w:sz w:val="20"/>
                <w:szCs w:val="20"/>
              </w:rPr>
            </w:pPr>
          </w:p>
        </w:tc>
        <w:tc>
          <w:tcPr>
            <w:tcW w:w="874" w:type="dxa"/>
            <w:tcBorders>
              <w:top w:val="nil"/>
              <w:left w:val="nil"/>
              <w:bottom w:val="nil"/>
              <w:right w:val="nil"/>
            </w:tcBorders>
            <w:shd w:val="clear" w:color="auto" w:fill="auto"/>
            <w:noWrap/>
            <w:vAlign w:val="bottom"/>
            <w:hideMark/>
          </w:tcPr>
          <w:p w:rsidR="00C642E4" w:rsidRDefault="00C642E4">
            <w:pPr>
              <w:rPr>
                <w:sz w:val="20"/>
                <w:szCs w:val="20"/>
              </w:rPr>
            </w:pPr>
          </w:p>
        </w:tc>
        <w:tc>
          <w:tcPr>
            <w:tcW w:w="1628" w:type="dxa"/>
            <w:tcBorders>
              <w:top w:val="nil"/>
              <w:left w:val="nil"/>
              <w:bottom w:val="nil"/>
              <w:right w:val="nil"/>
            </w:tcBorders>
            <w:shd w:val="clear" w:color="auto" w:fill="auto"/>
            <w:noWrap/>
            <w:vAlign w:val="bottom"/>
            <w:hideMark/>
          </w:tcPr>
          <w:p w:rsidR="00C642E4" w:rsidRDefault="00C642E4">
            <w:pPr>
              <w:rPr>
                <w:sz w:val="20"/>
                <w:szCs w:val="20"/>
              </w:rPr>
            </w:pPr>
          </w:p>
        </w:tc>
        <w:tc>
          <w:tcPr>
            <w:tcW w:w="1067" w:type="dxa"/>
            <w:tcBorders>
              <w:top w:val="nil"/>
              <w:left w:val="nil"/>
              <w:bottom w:val="nil"/>
              <w:right w:val="nil"/>
            </w:tcBorders>
            <w:shd w:val="clear" w:color="auto" w:fill="auto"/>
            <w:vAlign w:val="bottom"/>
            <w:hideMark/>
          </w:tcPr>
          <w:p w:rsidR="00C642E4" w:rsidRDefault="00C642E4">
            <w:pPr>
              <w:rPr>
                <w:sz w:val="20"/>
                <w:szCs w:val="20"/>
              </w:rPr>
            </w:pPr>
          </w:p>
        </w:tc>
      </w:tr>
      <w:tr w:rsidR="00C642E4" w:rsidTr="00C642E4">
        <w:trPr>
          <w:trHeight w:val="315"/>
        </w:trPr>
        <w:tc>
          <w:tcPr>
            <w:tcW w:w="4095" w:type="dxa"/>
            <w:tcBorders>
              <w:top w:val="nil"/>
              <w:left w:val="nil"/>
              <w:bottom w:val="single" w:sz="8" w:space="0" w:color="auto"/>
              <w:right w:val="single" w:sz="8" w:space="0" w:color="auto"/>
            </w:tcBorders>
            <w:shd w:val="clear" w:color="auto" w:fill="auto"/>
            <w:noWrap/>
            <w:vAlign w:val="bottom"/>
            <w:hideMark/>
          </w:tcPr>
          <w:p w:rsidR="00C642E4" w:rsidRDefault="00C642E4">
            <w:pPr>
              <w:jc w:val="center"/>
              <w:rPr>
                <w:rFonts w:ascii="Arial" w:hAnsi="Arial" w:cs="Arial"/>
                <w:color w:val="000000"/>
                <w:sz w:val="22"/>
                <w:szCs w:val="22"/>
              </w:rPr>
            </w:pPr>
            <w:r>
              <w:rPr>
                <w:rFonts w:ascii="Arial" w:hAnsi="Arial" w:cs="Arial"/>
                <w:color w:val="000000"/>
                <w:sz w:val="22"/>
                <w:szCs w:val="22"/>
              </w:rPr>
              <w:t>Αποτελέσματα χρήσεως προ φόρων</w:t>
            </w:r>
          </w:p>
        </w:tc>
        <w:tc>
          <w:tcPr>
            <w:tcW w:w="1617" w:type="dxa"/>
            <w:tcBorders>
              <w:top w:val="nil"/>
              <w:left w:val="nil"/>
              <w:bottom w:val="single" w:sz="8" w:space="0" w:color="auto"/>
              <w:right w:val="single" w:sz="8" w:space="0" w:color="auto"/>
            </w:tcBorders>
            <w:shd w:val="clear" w:color="auto" w:fill="auto"/>
            <w:noWrap/>
            <w:vAlign w:val="bottom"/>
            <w:hideMark/>
          </w:tcPr>
          <w:p w:rsidR="00C642E4" w:rsidRDefault="00C642E4">
            <w:pPr>
              <w:jc w:val="right"/>
              <w:rPr>
                <w:rFonts w:ascii="Arial" w:hAnsi="Arial" w:cs="Arial"/>
                <w:color w:val="000000"/>
                <w:sz w:val="22"/>
                <w:szCs w:val="22"/>
              </w:rPr>
            </w:pPr>
            <w:r>
              <w:rPr>
                <w:rFonts w:ascii="Arial" w:hAnsi="Arial" w:cs="Arial"/>
                <w:color w:val="000000"/>
                <w:sz w:val="22"/>
                <w:szCs w:val="22"/>
              </w:rPr>
              <w:t>18.998,24</w:t>
            </w:r>
          </w:p>
        </w:tc>
        <w:tc>
          <w:tcPr>
            <w:tcW w:w="874" w:type="dxa"/>
            <w:vMerge w:val="restart"/>
            <w:tcBorders>
              <w:top w:val="nil"/>
              <w:left w:val="single" w:sz="8" w:space="0" w:color="auto"/>
              <w:bottom w:val="nil"/>
              <w:right w:val="single" w:sz="8" w:space="0" w:color="auto"/>
            </w:tcBorders>
            <w:shd w:val="clear" w:color="auto" w:fill="auto"/>
            <w:noWrap/>
            <w:vAlign w:val="center"/>
            <w:hideMark/>
          </w:tcPr>
          <w:p w:rsidR="00C642E4" w:rsidRDefault="00C642E4">
            <w:pPr>
              <w:jc w:val="right"/>
              <w:rPr>
                <w:rFonts w:ascii="Arial" w:hAnsi="Arial" w:cs="Arial"/>
                <w:color w:val="000000"/>
                <w:sz w:val="22"/>
                <w:szCs w:val="22"/>
              </w:rPr>
            </w:pPr>
            <w:r>
              <w:rPr>
                <w:rFonts w:ascii="Arial" w:hAnsi="Arial" w:cs="Arial"/>
                <w:color w:val="000000"/>
                <w:sz w:val="22"/>
                <w:szCs w:val="22"/>
              </w:rPr>
              <w:t>5,59%</w:t>
            </w:r>
          </w:p>
        </w:tc>
        <w:tc>
          <w:tcPr>
            <w:tcW w:w="1628" w:type="dxa"/>
            <w:tcBorders>
              <w:top w:val="nil"/>
              <w:left w:val="nil"/>
              <w:bottom w:val="single" w:sz="8" w:space="0" w:color="auto"/>
              <w:right w:val="single" w:sz="8" w:space="0" w:color="auto"/>
            </w:tcBorders>
            <w:shd w:val="clear" w:color="auto" w:fill="auto"/>
            <w:noWrap/>
            <w:vAlign w:val="bottom"/>
            <w:hideMark/>
          </w:tcPr>
          <w:p w:rsidR="00C642E4" w:rsidRDefault="00C642E4">
            <w:pPr>
              <w:jc w:val="right"/>
              <w:rPr>
                <w:rFonts w:ascii="Arial" w:hAnsi="Arial" w:cs="Arial"/>
                <w:color w:val="000000"/>
                <w:sz w:val="22"/>
                <w:szCs w:val="22"/>
              </w:rPr>
            </w:pPr>
            <w:r>
              <w:rPr>
                <w:rFonts w:ascii="Arial" w:hAnsi="Arial" w:cs="Arial"/>
                <w:color w:val="000000"/>
                <w:sz w:val="22"/>
                <w:szCs w:val="22"/>
              </w:rPr>
              <w:t>72.834,85</w:t>
            </w:r>
          </w:p>
        </w:tc>
        <w:tc>
          <w:tcPr>
            <w:tcW w:w="1067" w:type="dxa"/>
            <w:vMerge w:val="restart"/>
            <w:tcBorders>
              <w:top w:val="nil"/>
              <w:left w:val="single" w:sz="8" w:space="0" w:color="auto"/>
              <w:bottom w:val="nil"/>
              <w:right w:val="single" w:sz="8" w:space="0" w:color="auto"/>
            </w:tcBorders>
            <w:shd w:val="clear" w:color="auto" w:fill="auto"/>
            <w:noWrap/>
            <w:vAlign w:val="center"/>
            <w:hideMark/>
          </w:tcPr>
          <w:p w:rsidR="00C642E4" w:rsidRDefault="00C642E4">
            <w:pPr>
              <w:jc w:val="right"/>
              <w:rPr>
                <w:rFonts w:ascii="Arial" w:hAnsi="Arial" w:cs="Arial"/>
                <w:color w:val="000000"/>
                <w:sz w:val="22"/>
                <w:szCs w:val="22"/>
              </w:rPr>
            </w:pPr>
            <w:r>
              <w:rPr>
                <w:rFonts w:ascii="Arial" w:hAnsi="Arial" w:cs="Arial"/>
                <w:color w:val="000000"/>
                <w:sz w:val="22"/>
                <w:szCs w:val="22"/>
              </w:rPr>
              <w:t>22,32%</w:t>
            </w:r>
          </w:p>
        </w:tc>
      </w:tr>
      <w:tr w:rsidR="00C642E4" w:rsidTr="00C642E4">
        <w:trPr>
          <w:trHeight w:val="300"/>
        </w:trPr>
        <w:tc>
          <w:tcPr>
            <w:tcW w:w="4095" w:type="dxa"/>
            <w:tcBorders>
              <w:top w:val="nil"/>
              <w:left w:val="nil"/>
              <w:bottom w:val="nil"/>
              <w:right w:val="single" w:sz="8" w:space="0" w:color="auto"/>
            </w:tcBorders>
            <w:shd w:val="clear" w:color="auto" w:fill="auto"/>
            <w:noWrap/>
            <w:vAlign w:val="bottom"/>
            <w:hideMark/>
          </w:tcPr>
          <w:p w:rsidR="00C642E4" w:rsidRDefault="00C642E4">
            <w:pPr>
              <w:jc w:val="center"/>
              <w:rPr>
                <w:rFonts w:ascii="Arial" w:hAnsi="Arial" w:cs="Arial"/>
                <w:color w:val="000000"/>
                <w:sz w:val="22"/>
                <w:szCs w:val="22"/>
              </w:rPr>
            </w:pPr>
            <w:r>
              <w:rPr>
                <w:rFonts w:ascii="Arial" w:hAnsi="Arial" w:cs="Arial"/>
                <w:color w:val="000000"/>
                <w:sz w:val="22"/>
                <w:szCs w:val="22"/>
              </w:rPr>
              <w:t>Καθαρή θέση</w:t>
            </w:r>
          </w:p>
        </w:tc>
        <w:tc>
          <w:tcPr>
            <w:tcW w:w="1617" w:type="dxa"/>
            <w:tcBorders>
              <w:top w:val="nil"/>
              <w:left w:val="nil"/>
              <w:bottom w:val="nil"/>
              <w:right w:val="single" w:sz="8" w:space="0" w:color="auto"/>
            </w:tcBorders>
            <w:shd w:val="clear" w:color="auto" w:fill="auto"/>
            <w:noWrap/>
            <w:vAlign w:val="bottom"/>
            <w:hideMark/>
          </w:tcPr>
          <w:p w:rsidR="00C642E4" w:rsidRDefault="00C642E4">
            <w:pPr>
              <w:jc w:val="right"/>
              <w:rPr>
                <w:rFonts w:ascii="Arial" w:hAnsi="Arial" w:cs="Arial"/>
                <w:color w:val="000000"/>
                <w:sz w:val="22"/>
                <w:szCs w:val="22"/>
              </w:rPr>
            </w:pPr>
            <w:r>
              <w:rPr>
                <w:rFonts w:ascii="Arial" w:hAnsi="Arial" w:cs="Arial"/>
                <w:color w:val="000000"/>
                <w:sz w:val="22"/>
                <w:szCs w:val="22"/>
              </w:rPr>
              <w:t>339.576,83</w:t>
            </w:r>
          </w:p>
        </w:tc>
        <w:tc>
          <w:tcPr>
            <w:tcW w:w="874" w:type="dxa"/>
            <w:vMerge/>
            <w:tcBorders>
              <w:top w:val="nil"/>
              <w:left w:val="single" w:sz="8" w:space="0" w:color="auto"/>
              <w:bottom w:val="nil"/>
              <w:right w:val="single" w:sz="8" w:space="0" w:color="auto"/>
            </w:tcBorders>
            <w:vAlign w:val="center"/>
            <w:hideMark/>
          </w:tcPr>
          <w:p w:rsidR="00C642E4" w:rsidRDefault="00C642E4">
            <w:pPr>
              <w:rPr>
                <w:rFonts w:ascii="Arial" w:hAnsi="Arial" w:cs="Arial"/>
                <w:color w:val="000000"/>
                <w:sz w:val="22"/>
                <w:szCs w:val="22"/>
              </w:rPr>
            </w:pPr>
          </w:p>
        </w:tc>
        <w:tc>
          <w:tcPr>
            <w:tcW w:w="1628" w:type="dxa"/>
            <w:tcBorders>
              <w:top w:val="nil"/>
              <w:left w:val="nil"/>
              <w:bottom w:val="nil"/>
              <w:right w:val="single" w:sz="8" w:space="0" w:color="auto"/>
            </w:tcBorders>
            <w:shd w:val="clear" w:color="auto" w:fill="auto"/>
            <w:noWrap/>
            <w:vAlign w:val="bottom"/>
            <w:hideMark/>
          </w:tcPr>
          <w:p w:rsidR="00C642E4" w:rsidRDefault="00C642E4">
            <w:pPr>
              <w:jc w:val="right"/>
              <w:rPr>
                <w:rFonts w:ascii="Arial" w:hAnsi="Arial" w:cs="Arial"/>
                <w:color w:val="000000"/>
                <w:sz w:val="22"/>
                <w:szCs w:val="22"/>
              </w:rPr>
            </w:pPr>
            <w:r>
              <w:rPr>
                <w:rFonts w:ascii="Arial" w:hAnsi="Arial" w:cs="Arial"/>
                <w:color w:val="000000"/>
                <w:sz w:val="22"/>
                <w:szCs w:val="22"/>
              </w:rPr>
              <w:t>326.378,08</w:t>
            </w:r>
          </w:p>
        </w:tc>
        <w:tc>
          <w:tcPr>
            <w:tcW w:w="1067" w:type="dxa"/>
            <w:vMerge/>
            <w:tcBorders>
              <w:top w:val="nil"/>
              <w:left w:val="single" w:sz="8" w:space="0" w:color="auto"/>
              <w:bottom w:val="nil"/>
              <w:right w:val="single" w:sz="8" w:space="0" w:color="auto"/>
            </w:tcBorders>
            <w:vAlign w:val="center"/>
            <w:hideMark/>
          </w:tcPr>
          <w:p w:rsidR="00C642E4" w:rsidRDefault="00C642E4">
            <w:pPr>
              <w:rPr>
                <w:rFonts w:ascii="Arial" w:hAnsi="Arial" w:cs="Arial"/>
                <w:color w:val="000000"/>
                <w:sz w:val="22"/>
                <w:szCs w:val="22"/>
              </w:rPr>
            </w:pPr>
          </w:p>
        </w:tc>
      </w:tr>
      <w:tr w:rsidR="00C642E4" w:rsidTr="00C642E4">
        <w:trPr>
          <w:trHeight w:val="315"/>
        </w:trPr>
        <w:tc>
          <w:tcPr>
            <w:tcW w:w="4095" w:type="dxa"/>
            <w:tcBorders>
              <w:top w:val="nil"/>
              <w:left w:val="nil"/>
              <w:bottom w:val="nil"/>
              <w:right w:val="nil"/>
            </w:tcBorders>
            <w:shd w:val="clear" w:color="auto" w:fill="auto"/>
            <w:noWrap/>
            <w:vAlign w:val="bottom"/>
            <w:hideMark/>
          </w:tcPr>
          <w:p w:rsidR="00C642E4" w:rsidRDefault="00C642E4">
            <w:pPr>
              <w:jc w:val="right"/>
              <w:rPr>
                <w:rFonts w:ascii="Arial" w:hAnsi="Arial" w:cs="Arial"/>
                <w:color w:val="000000"/>
                <w:sz w:val="22"/>
                <w:szCs w:val="22"/>
              </w:rPr>
            </w:pPr>
          </w:p>
        </w:tc>
        <w:tc>
          <w:tcPr>
            <w:tcW w:w="1617" w:type="dxa"/>
            <w:tcBorders>
              <w:top w:val="nil"/>
              <w:left w:val="nil"/>
              <w:bottom w:val="nil"/>
              <w:right w:val="nil"/>
            </w:tcBorders>
            <w:shd w:val="clear" w:color="auto" w:fill="auto"/>
            <w:noWrap/>
            <w:vAlign w:val="bottom"/>
            <w:hideMark/>
          </w:tcPr>
          <w:p w:rsidR="00C642E4" w:rsidRDefault="00C642E4">
            <w:pPr>
              <w:rPr>
                <w:sz w:val="20"/>
                <w:szCs w:val="20"/>
              </w:rPr>
            </w:pPr>
          </w:p>
        </w:tc>
        <w:tc>
          <w:tcPr>
            <w:tcW w:w="874" w:type="dxa"/>
            <w:tcBorders>
              <w:top w:val="nil"/>
              <w:left w:val="nil"/>
              <w:bottom w:val="nil"/>
              <w:right w:val="nil"/>
            </w:tcBorders>
            <w:shd w:val="clear" w:color="auto" w:fill="auto"/>
            <w:noWrap/>
            <w:vAlign w:val="bottom"/>
            <w:hideMark/>
          </w:tcPr>
          <w:p w:rsidR="00C642E4" w:rsidRDefault="00C642E4">
            <w:pPr>
              <w:rPr>
                <w:sz w:val="20"/>
                <w:szCs w:val="20"/>
              </w:rPr>
            </w:pPr>
          </w:p>
        </w:tc>
        <w:tc>
          <w:tcPr>
            <w:tcW w:w="1628" w:type="dxa"/>
            <w:tcBorders>
              <w:top w:val="nil"/>
              <w:left w:val="nil"/>
              <w:bottom w:val="nil"/>
              <w:right w:val="nil"/>
            </w:tcBorders>
            <w:shd w:val="clear" w:color="auto" w:fill="auto"/>
            <w:noWrap/>
            <w:vAlign w:val="bottom"/>
            <w:hideMark/>
          </w:tcPr>
          <w:p w:rsidR="00C642E4" w:rsidRDefault="00C642E4">
            <w:pPr>
              <w:rPr>
                <w:sz w:val="20"/>
                <w:szCs w:val="20"/>
              </w:rPr>
            </w:pPr>
          </w:p>
        </w:tc>
        <w:tc>
          <w:tcPr>
            <w:tcW w:w="1067" w:type="dxa"/>
            <w:tcBorders>
              <w:top w:val="nil"/>
              <w:left w:val="nil"/>
              <w:bottom w:val="nil"/>
              <w:right w:val="nil"/>
            </w:tcBorders>
            <w:shd w:val="clear" w:color="auto" w:fill="auto"/>
            <w:vAlign w:val="bottom"/>
            <w:hideMark/>
          </w:tcPr>
          <w:p w:rsidR="00C642E4" w:rsidRDefault="00C642E4">
            <w:pPr>
              <w:rPr>
                <w:sz w:val="20"/>
                <w:szCs w:val="20"/>
              </w:rPr>
            </w:pPr>
          </w:p>
        </w:tc>
      </w:tr>
      <w:tr w:rsidR="00C642E4" w:rsidTr="00C642E4">
        <w:trPr>
          <w:trHeight w:val="300"/>
        </w:trPr>
        <w:tc>
          <w:tcPr>
            <w:tcW w:w="9281" w:type="dxa"/>
            <w:gridSpan w:val="5"/>
            <w:tcBorders>
              <w:top w:val="nil"/>
              <w:left w:val="nil"/>
              <w:bottom w:val="nil"/>
              <w:right w:val="nil"/>
            </w:tcBorders>
            <w:shd w:val="clear" w:color="auto" w:fill="auto"/>
            <w:vAlign w:val="bottom"/>
            <w:hideMark/>
          </w:tcPr>
          <w:p w:rsidR="00C642E4" w:rsidRDefault="00C642E4">
            <w:pPr>
              <w:jc w:val="both"/>
              <w:rPr>
                <w:rFonts w:ascii="Arial" w:hAnsi="Arial" w:cs="Arial"/>
                <w:color w:val="000000"/>
                <w:sz w:val="22"/>
                <w:szCs w:val="22"/>
              </w:rPr>
            </w:pPr>
            <w:r>
              <w:rPr>
                <w:rFonts w:ascii="Arial" w:hAnsi="Arial" w:cs="Arial"/>
                <w:color w:val="000000"/>
                <w:sz w:val="22"/>
                <w:szCs w:val="22"/>
              </w:rPr>
              <w:t>Ο αριθμοδείκτης αυτός απεικονίζει την αποδοτικότητα των ιδίων κεφαλαίων της εταιρείας.</w:t>
            </w:r>
          </w:p>
        </w:tc>
      </w:tr>
      <w:tr w:rsidR="00C642E4" w:rsidTr="00C642E4">
        <w:trPr>
          <w:trHeight w:val="300"/>
        </w:trPr>
        <w:tc>
          <w:tcPr>
            <w:tcW w:w="4095" w:type="dxa"/>
            <w:tcBorders>
              <w:top w:val="nil"/>
              <w:left w:val="nil"/>
              <w:bottom w:val="nil"/>
              <w:right w:val="nil"/>
            </w:tcBorders>
            <w:shd w:val="clear" w:color="auto" w:fill="auto"/>
            <w:noWrap/>
            <w:vAlign w:val="bottom"/>
            <w:hideMark/>
          </w:tcPr>
          <w:p w:rsidR="00C642E4" w:rsidRDefault="00C642E4">
            <w:pPr>
              <w:jc w:val="both"/>
              <w:rPr>
                <w:rFonts w:ascii="Arial" w:hAnsi="Arial" w:cs="Arial"/>
                <w:color w:val="000000"/>
                <w:sz w:val="22"/>
                <w:szCs w:val="22"/>
              </w:rPr>
            </w:pPr>
          </w:p>
        </w:tc>
        <w:tc>
          <w:tcPr>
            <w:tcW w:w="1617" w:type="dxa"/>
            <w:tcBorders>
              <w:top w:val="nil"/>
              <w:left w:val="nil"/>
              <w:bottom w:val="nil"/>
              <w:right w:val="nil"/>
            </w:tcBorders>
            <w:shd w:val="clear" w:color="auto" w:fill="auto"/>
            <w:noWrap/>
            <w:vAlign w:val="bottom"/>
            <w:hideMark/>
          </w:tcPr>
          <w:p w:rsidR="00C642E4" w:rsidRDefault="00C642E4">
            <w:pPr>
              <w:rPr>
                <w:sz w:val="20"/>
                <w:szCs w:val="20"/>
              </w:rPr>
            </w:pPr>
          </w:p>
        </w:tc>
        <w:tc>
          <w:tcPr>
            <w:tcW w:w="874" w:type="dxa"/>
            <w:tcBorders>
              <w:top w:val="nil"/>
              <w:left w:val="nil"/>
              <w:bottom w:val="nil"/>
              <w:right w:val="nil"/>
            </w:tcBorders>
            <w:shd w:val="clear" w:color="auto" w:fill="auto"/>
            <w:noWrap/>
            <w:vAlign w:val="bottom"/>
            <w:hideMark/>
          </w:tcPr>
          <w:p w:rsidR="00C642E4" w:rsidRDefault="00C642E4">
            <w:pPr>
              <w:rPr>
                <w:sz w:val="20"/>
                <w:szCs w:val="20"/>
              </w:rPr>
            </w:pPr>
          </w:p>
        </w:tc>
        <w:tc>
          <w:tcPr>
            <w:tcW w:w="2695" w:type="dxa"/>
            <w:gridSpan w:val="2"/>
            <w:tcBorders>
              <w:top w:val="nil"/>
              <w:left w:val="nil"/>
              <w:bottom w:val="nil"/>
              <w:right w:val="nil"/>
            </w:tcBorders>
            <w:shd w:val="clear" w:color="auto" w:fill="auto"/>
            <w:noWrap/>
            <w:vAlign w:val="bottom"/>
            <w:hideMark/>
          </w:tcPr>
          <w:p w:rsidR="00C642E4" w:rsidRDefault="00C642E4">
            <w:pPr>
              <w:rPr>
                <w:sz w:val="20"/>
                <w:szCs w:val="20"/>
              </w:rPr>
            </w:pPr>
          </w:p>
        </w:tc>
      </w:tr>
      <w:tr w:rsidR="00C642E4" w:rsidTr="00C642E4">
        <w:trPr>
          <w:trHeight w:val="315"/>
        </w:trPr>
        <w:tc>
          <w:tcPr>
            <w:tcW w:w="4095" w:type="dxa"/>
            <w:tcBorders>
              <w:top w:val="nil"/>
              <w:left w:val="nil"/>
              <w:bottom w:val="single" w:sz="8" w:space="0" w:color="auto"/>
              <w:right w:val="single" w:sz="8" w:space="0" w:color="auto"/>
            </w:tcBorders>
            <w:shd w:val="clear" w:color="auto" w:fill="auto"/>
            <w:noWrap/>
            <w:vAlign w:val="bottom"/>
            <w:hideMark/>
          </w:tcPr>
          <w:p w:rsidR="00C642E4" w:rsidRDefault="00C642E4">
            <w:pPr>
              <w:jc w:val="center"/>
              <w:rPr>
                <w:rFonts w:ascii="Arial" w:hAnsi="Arial" w:cs="Arial"/>
                <w:color w:val="000000"/>
                <w:sz w:val="22"/>
                <w:szCs w:val="22"/>
              </w:rPr>
            </w:pPr>
            <w:r>
              <w:rPr>
                <w:rFonts w:ascii="Arial" w:hAnsi="Arial" w:cs="Arial"/>
                <w:color w:val="000000"/>
                <w:sz w:val="22"/>
                <w:szCs w:val="22"/>
              </w:rPr>
              <w:t>Μικτά αποτελέσματα</w:t>
            </w:r>
          </w:p>
        </w:tc>
        <w:tc>
          <w:tcPr>
            <w:tcW w:w="1617" w:type="dxa"/>
            <w:tcBorders>
              <w:top w:val="nil"/>
              <w:left w:val="nil"/>
              <w:bottom w:val="single" w:sz="8" w:space="0" w:color="auto"/>
              <w:right w:val="single" w:sz="8" w:space="0" w:color="auto"/>
            </w:tcBorders>
            <w:shd w:val="clear" w:color="auto" w:fill="auto"/>
            <w:noWrap/>
            <w:vAlign w:val="bottom"/>
            <w:hideMark/>
          </w:tcPr>
          <w:p w:rsidR="00C642E4" w:rsidRDefault="00C642E4">
            <w:pPr>
              <w:jc w:val="right"/>
              <w:rPr>
                <w:rFonts w:ascii="Arial" w:hAnsi="Arial" w:cs="Arial"/>
                <w:color w:val="000000"/>
                <w:sz w:val="22"/>
                <w:szCs w:val="22"/>
              </w:rPr>
            </w:pPr>
            <w:r>
              <w:rPr>
                <w:rFonts w:ascii="Arial" w:hAnsi="Arial" w:cs="Arial"/>
                <w:color w:val="000000"/>
                <w:sz w:val="22"/>
                <w:szCs w:val="22"/>
              </w:rPr>
              <w:t>433.210,06</w:t>
            </w:r>
          </w:p>
        </w:tc>
        <w:tc>
          <w:tcPr>
            <w:tcW w:w="874" w:type="dxa"/>
            <w:vMerge w:val="restart"/>
            <w:tcBorders>
              <w:top w:val="nil"/>
              <w:left w:val="single" w:sz="8" w:space="0" w:color="auto"/>
              <w:bottom w:val="nil"/>
              <w:right w:val="single" w:sz="8" w:space="0" w:color="auto"/>
            </w:tcBorders>
            <w:shd w:val="clear" w:color="auto" w:fill="auto"/>
            <w:noWrap/>
            <w:vAlign w:val="center"/>
            <w:hideMark/>
          </w:tcPr>
          <w:p w:rsidR="00C642E4" w:rsidRDefault="00C642E4">
            <w:pPr>
              <w:jc w:val="right"/>
              <w:rPr>
                <w:rFonts w:ascii="Arial" w:hAnsi="Arial" w:cs="Arial"/>
                <w:color w:val="000000"/>
                <w:sz w:val="22"/>
                <w:szCs w:val="22"/>
              </w:rPr>
            </w:pPr>
            <w:r>
              <w:rPr>
                <w:rFonts w:ascii="Arial" w:hAnsi="Arial" w:cs="Arial"/>
                <w:color w:val="000000"/>
                <w:sz w:val="22"/>
                <w:szCs w:val="22"/>
              </w:rPr>
              <w:t>38,94%</w:t>
            </w:r>
          </w:p>
        </w:tc>
        <w:tc>
          <w:tcPr>
            <w:tcW w:w="1628" w:type="dxa"/>
            <w:tcBorders>
              <w:top w:val="nil"/>
              <w:left w:val="nil"/>
              <w:bottom w:val="single" w:sz="8" w:space="0" w:color="auto"/>
              <w:right w:val="single" w:sz="8" w:space="0" w:color="auto"/>
            </w:tcBorders>
            <w:shd w:val="clear" w:color="auto" w:fill="auto"/>
            <w:noWrap/>
            <w:vAlign w:val="bottom"/>
            <w:hideMark/>
          </w:tcPr>
          <w:p w:rsidR="00C642E4" w:rsidRDefault="00C642E4">
            <w:pPr>
              <w:jc w:val="right"/>
              <w:rPr>
                <w:rFonts w:ascii="Arial" w:hAnsi="Arial" w:cs="Arial"/>
                <w:color w:val="000000"/>
                <w:sz w:val="22"/>
                <w:szCs w:val="22"/>
              </w:rPr>
            </w:pPr>
            <w:r>
              <w:rPr>
                <w:rFonts w:ascii="Arial" w:hAnsi="Arial" w:cs="Arial"/>
                <w:color w:val="000000"/>
                <w:sz w:val="22"/>
                <w:szCs w:val="22"/>
              </w:rPr>
              <w:t>535.289,44</w:t>
            </w:r>
          </w:p>
        </w:tc>
        <w:tc>
          <w:tcPr>
            <w:tcW w:w="1067" w:type="dxa"/>
            <w:vMerge w:val="restart"/>
            <w:tcBorders>
              <w:top w:val="nil"/>
              <w:left w:val="single" w:sz="8" w:space="0" w:color="auto"/>
              <w:bottom w:val="nil"/>
              <w:right w:val="single" w:sz="8" w:space="0" w:color="auto"/>
            </w:tcBorders>
            <w:shd w:val="clear" w:color="auto" w:fill="auto"/>
            <w:noWrap/>
            <w:vAlign w:val="center"/>
            <w:hideMark/>
          </w:tcPr>
          <w:p w:rsidR="00C642E4" w:rsidRDefault="00C642E4">
            <w:pPr>
              <w:jc w:val="right"/>
              <w:rPr>
                <w:rFonts w:ascii="Arial" w:hAnsi="Arial" w:cs="Arial"/>
                <w:color w:val="000000"/>
                <w:sz w:val="22"/>
                <w:szCs w:val="22"/>
              </w:rPr>
            </w:pPr>
            <w:r>
              <w:rPr>
                <w:rFonts w:ascii="Arial" w:hAnsi="Arial" w:cs="Arial"/>
                <w:color w:val="000000"/>
                <w:sz w:val="22"/>
                <w:szCs w:val="22"/>
              </w:rPr>
              <w:t>43,25%</w:t>
            </w:r>
          </w:p>
        </w:tc>
      </w:tr>
      <w:tr w:rsidR="00C642E4" w:rsidTr="00C642E4">
        <w:trPr>
          <w:trHeight w:val="300"/>
        </w:trPr>
        <w:tc>
          <w:tcPr>
            <w:tcW w:w="4095" w:type="dxa"/>
            <w:tcBorders>
              <w:top w:val="nil"/>
              <w:left w:val="nil"/>
              <w:bottom w:val="nil"/>
              <w:right w:val="single" w:sz="8" w:space="0" w:color="auto"/>
            </w:tcBorders>
            <w:shd w:val="clear" w:color="auto" w:fill="auto"/>
            <w:noWrap/>
            <w:vAlign w:val="bottom"/>
            <w:hideMark/>
          </w:tcPr>
          <w:p w:rsidR="00C642E4" w:rsidRDefault="00C642E4">
            <w:pPr>
              <w:jc w:val="center"/>
              <w:rPr>
                <w:rFonts w:ascii="Arial" w:hAnsi="Arial" w:cs="Arial"/>
                <w:color w:val="000000"/>
                <w:sz w:val="22"/>
                <w:szCs w:val="22"/>
              </w:rPr>
            </w:pPr>
            <w:r>
              <w:rPr>
                <w:rFonts w:ascii="Arial" w:hAnsi="Arial" w:cs="Arial"/>
                <w:color w:val="000000"/>
                <w:sz w:val="22"/>
                <w:szCs w:val="22"/>
              </w:rPr>
              <w:t>Πωλήσεις αποθεμάτων &amp; υπηρεσιών</w:t>
            </w:r>
          </w:p>
        </w:tc>
        <w:tc>
          <w:tcPr>
            <w:tcW w:w="1617" w:type="dxa"/>
            <w:tcBorders>
              <w:top w:val="nil"/>
              <w:left w:val="nil"/>
              <w:bottom w:val="nil"/>
              <w:right w:val="single" w:sz="8" w:space="0" w:color="auto"/>
            </w:tcBorders>
            <w:shd w:val="clear" w:color="auto" w:fill="auto"/>
            <w:noWrap/>
            <w:vAlign w:val="bottom"/>
            <w:hideMark/>
          </w:tcPr>
          <w:p w:rsidR="00C642E4" w:rsidRDefault="00C642E4">
            <w:pPr>
              <w:jc w:val="right"/>
              <w:rPr>
                <w:rFonts w:ascii="Arial" w:hAnsi="Arial" w:cs="Arial"/>
                <w:color w:val="000000"/>
                <w:sz w:val="22"/>
                <w:szCs w:val="22"/>
              </w:rPr>
            </w:pPr>
            <w:r>
              <w:rPr>
                <w:rFonts w:ascii="Arial" w:hAnsi="Arial" w:cs="Arial"/>
                <w:color w:val="000000"/>
                <w:sz w:val="22"/>
                <w:szCs w:val="22"/>
              </w:rPr>
              <w:t>1.112.406,13</w:t>
            </w:r>
          </w:p>
        </w:tc>
        <w:tc>
          <w:tcPr>
            <w:tcW w:w="874" w:type="dxa"/>
            <w:vMerge/>
            <w:tcBorders>
              <w:top w:val="nil"/>
              <w:left w:val="single" w:sz="8" w:space="0" w:color="auto"/>
              <w:bottom w:val="nil"/>
              <w:right w:val="single" w:sz="8" w:space="0" w:color="auto"/>
            </w:tcBorders>
            <w:vAlign w:val="center"/>
            <w:hideMark/>
          </w:tcPr>
          <w:p w:rsidR="00C642E4" w:rsidRDefault="00C642E4">
            <w:pPr>
              <w:rPr>
                <w:rFonts w:ascii="Arial" w:hAnsi="Arial" w:cs="Arial"/>
                <w:color w:val="000000"/>
                <w:sz w:val="22"/>
                <w:szCs w:val="22"/>
              </w:rPr>
            </w:pPr>
          </w:p>
        </w:tc>
        <w:tc>
          <w:tcPr>
            <w:tcW w:w="1628" w:type="dxa"/>
            <w:tcBorders>
              <w:top w:val="nil"/>
              <w:left w:val="nil"/>
              <w:bottom w:val="nil"/>
              <w:right w:val="single" w:sz="8" w:space="0" w:color="auto"/>
            </w:tcBorders>
            <w:shd w:val="clear" w:color="auto" w:fill="auto"/>
            <w:noWrap/>
            <w:vAlign w:val="bottom"/>
            <w:hideMark/>
          </w:tcPr>
          <w:p w:rsidR="00C642E4" w:rsidRDefault="00C642E4">
            <w:pPr>
              <w:jc w:val="right"/>
              <w:rPr>
                <w:rFonts w:ascii="Arial" w:hAnsi="Arial" w:cs="Arial"/>
                <w:color w:val="000000"/>
                <w:sz w:val="22"/>
                <w:szCs w:val="22"/>
              </w:rPr>
            </w:pPr>
            <w:r>
              <w:rPr>
                <w:rFonts w:ascii="Arial" w:hAnsi="Arial" w:cs="Arial"/>
                <w:color w:val="000000"/>
                <w:sz w:val="22"/>
                <w:szCs w:val="22"/>
              </w:rPr>
              <w:t>1.237.610,60</w:t>
            </w:r>
          </w:p>
        </w:tc>
        <w:tc>
          <w:tcPr>
            <w:tcW w:w="1067" w:type="dxa"/>
            <w:vMerge/>
            <w:tcBorders>
              <w:top w:val="nil"/>
              <w:left w:val="single" w:sz="8" w:space="0" w:color="auto"/>
              <w:bottom w:val="nil"/>
              <w:right w:val="single" w:sz="8" w:space="0" w:color="auto"/>
            </w:tcBorders>
            <w:vAlign w:val="center"/>
            <w:hideMark/>
          </w:tcPr>
          <w:p w:rsidR="00C642E4" w:rsidRDefault="00C642E4">
            <w:pPr>
              <w:rPr>
                <w:rFonts w:ascii="Arial" w:hAnsi="Arial" w:cs="Arial"/>
                <w:color w:val="000000"/>
                <w:sz w:val="22"/>
                <w:szCs w:val="22"/>
              </w:rPr>
            </w:pPr>
          </w:p>
        </w:tc>
      </w:tr>
      <w:tr w:rsidR="00C642E4" w:rsidTr="00C642E4">
        <w:trPr>
          <w:trHeight w:val="315"/>
        </w:trPr>
        <w:tc>
          <w:tcPr>
            <w:tcW w:w="4095" w:type="dxa"/>
            <w:tcBorders>
              <w:top w:val="nil"/>
              <w:left w:val="nil"/>
              <w:bottom w:val="nil"/>
              <w:right w:val="nil"/>
            </w:tcBorders>
            <w:shd w:val="clear" w:color="auto" w:fill="auto"/>
            <w:noWrap/>
            <w:vAlign w:val="bottom"/>
            <w:hideMark/>
          </w:tcPr>
          <w:p w:rsidR="00C642E4" w:rsidRDefault="00C642E4">
            <w:pPr>
              <w:jc w:val="right"/>
              <w:rPr>
                <w:rFonts w:ascii="Arial" w:hAnsi="Arial" w:cs="Arial"/>
                <w:color w:val="000000"/>
                <w:sz w:val="22"/>
                <w:szCs w:val="22"/>
              </w:rPr>
            </w:pPr>
          </w:p>
        </w:tc>
        <w:tc>
          <w:tcPr>
            <w:tcW w:w="1617" w:type="dxa"/>
            <w:tcBorders>
              <w:top w:val="nil"/>
              <w:left w:val="nil"/>
              <w:bottom w:val="nil"/>
              <w:right w:val="nil"/>
            </w:tcBorders>
            <w:shd w:val="clear" w:color="auto" w:fill="auto"/>
            <w:noWrap/>
            <w:vAlign w:val="bottom"/>
            <w:hideMark/>
          </w:tcPr>
          <w:p w:rsidR="00C642E4" w:rsidRDefault="00C642E4">
            <w:pPr>
              <w:rPr>
                <w:sz w:val="20"/>
                <w:szCs w:val="20"/>
              </w:rPr>
            </w:pPr>
          </w:p>
        </w:tc>
        <w:tc>
          <w:tcPr>
            <w:tcW w:w="874" w:type="dxa"/>
            <w:tcBorders>
              <w:top w:val="nil"/>
              <w:left w:val="nil"/>
              <w:bottom w:val="nil"/>
              <w:right w:val="nil"/>
            </w:tcBorders>
            <w:shd w:val="clear" w:color="auto" w:fill="auto"/>
            <w:noWrap/>
            <w:vAlign w:val="bottom"/>
            <w:hideMark/>
          </w:tcPr>
          <w:p w:rsidR="00C642E4" w:rsidRDefault="00C642E4">
            <w:pPr>
              <w:rPr>
                <w:sz w:val="20"/>
                <w:szCs w:val="20"/>
              </w:rPr>
            </w:pPr>
          </w:p>
        </w:tc>
        <w:tc>
          <w:tcPr>
            <w:tcW w:w="1628" w:type="dxa"/>
            <w:tcBorders>
              <w:top w:val="nil"/>
              <w:left w:val="nil"/>
              <w:bottom w:val="nil"/>
              <w:right w:val="nil"/>
            </w:tcBorders>
            <w:shd w:val="clear" w:color="auto" w:fill="auto"/>
            <w:noWrap/>
            <w:vAlign w:val="bottom"/>
            <w:hideMark/>
          </w:tcPr>
          <w:p w:rsidR="00C642E4" w:rsidRDefault="00C642E4">
            <w:pPr>
              <w:rPr>
                <w:sz w:val="20"/>
                <w:szCs w:val="20"/>
              </w:rPr>
            </w:pPr>
          </w:p>
        </w:tc>
        <w:tc>
          <w:tcPr>
            <w:tcW w:w="1067" w:type="dxa"/>
            <w:tcBorders>
              <w:top w:val="nil"/>
              <w:left w:val="nil"/>
              <w:bottom w:val="nil"/>
              <w:right w:val="nil"/>
            </w:tcBorders>
            <w:shd w:val="clear" w:color="auto" w:fill="auto"/>
            <w:vAlign w:val="bottom"/>
            <w:hideMark/>
          </w:tcPr>
          <w:p w:rsidR="00C642E4" w:rsidRDefault="00C642E4">
            <w:pPr>
              <w:rPr>
                <w:sz w:val="20"/>
                <w:szCs w:val="20"/>
              </w:rPr>
            </w:pPr>
          </w:p>
        </w:tc>
      </w:tr>
      <w:tr w:rsidR="00C642E4" w:rsidTr="00C642E4">
        <w:trPr>
          <w:trHeight w:val="600"/>
        </w:trPr>
        <w:tc>
          <w:tcPr>
            <w:tcW w:w="9281" w:type="dxa"/>
            <w:gridSpan w:val="5"/>
            <w:tcBorders>
              <w:top w:val="nil"/>
              <w:left w:val="nil"/>
              <w:bottom w:val="nil"/>
              <w:right w:val="nil"/>
            </w:tcBorders>
            <w:shd w:val="clear" w:color="auto" w:fill="auto"/>
            <w:vAlign w:val="bottom"/>
            <w:hideMark/>
          </w:tcPr>
          <w:p w:rsidR="00C642E4" w:rsidRDefault="00C642E4">
            <w:pPr>
              <w:jc w:val="both"/>
              <w:rPr>
                <w:rFonts w:ascii="Arial" w:hAnsi="Arial" w:cs="Arial"/>
                <w:color w:val="000000"/>
                <w:sz w:val="22"/>
                <w:szCs w:val="22"/>
              </w:rPr>
            </w:pPr>
            <w:r>
              <w:rPr>
                <w:rFonts w:ascii="Arial" w:hAnsi="Arial" w:cs="Arial"/>
                <w:color w:val="000000"/>
                <w:sz w:val="22"/>
                <w:szCs w:val="22"/>
              </w:rPr>
              <w:t>Ο αριθμοδείκτης αυτός απεικονίζει το ποσοστιαίο μέγεθος του μικτού κέρδους επί των πωλήσεων της εταιρείας.</w:t>
            </w:r>
          </w:p>
        </w:tc>
      </w:tr>
    </w:tbl>
    <w:p w:rsidR="00525943" w:rsidRPr="004E226F" w:rsidRDefault="00525943" w:rsidP="007E484A">
      <w:pPr>
        <w:spacing w:line="360" w:lineRule="auto"/>
        <w:ind w:firstLine="720"/>
        <w:jc w:val="both"/>
      </w:pPr>
    </w:p>
    <w:p w:rsidR="003875FE" w:rsidRPr="00227057" w:rsidRDefault="003875FE" w:rsidP="003875FE">
      <w:pPr>
        <w:suppressAutoHyphens/>
        <w:spacing w:line="360" w:lineRule="auto"/>
        <w:jc w:val="both"/>
        <w:rPr>
          <w:rFonts w:ascii="Arial" w:eastAsia="SimSun" w:hAnsi="Arial" w:cs="Mangal"/>
          <w:kern w:val="1"/>
          <w:sz w:val="20"/>
          <w:szCs w:val="20"/>
          <w:lang w:eastAsia="hi-IN" w:bidi="hi-IN"/>
        </w:rPr>
      </w:pPr>
    </w:p>
    <w:p w:rsidR="003875FE" w:rsidRPr="004E73CE" w:rsidRDefault="003875FE" w:rsidP="003875FE">
      <w:pPr>
        <w:numPr>
          <w:ilvl w:val="0"/>
          <w:numId w:val="2"/>
        </w:numPr>
        <w:suppressAutoHyphens/>
        <w:spacing w:line="360" w:lineRule="auto"/>
        <w:jc w:val="both"/>
        <w:rPr>
          <w:rFonts w:eastAsia="SimSun"/>
          <w:i/>
          <w:kern w:val="1"/>
          <w:szCs w:val="20"/>
          <w:u w:val="single"/>
          <w:lang w:eastAsia="hi-IN" w:bidi="hi-IN"/>
        </w:rPr>
      </w:pPr>
      <w:r w:rsidRPr="004E73CE">
        <w:rPr>
          <w:rFonts w:eastAsia="SimSun"/>
          <w:i/>
          <w:kern w:val="1"/>
          <w:szCs w:val="20"/>
          <w:u w:val="single"/>
          <w:lang w:eastAsia="hi-IN" w:bidi="hi-IN"/>
        </w:rPr>
        <w:t>Παρουσίαση αποτελεσμάτων χρήσης</w:t>
      </w:r>
    </w:p>
    <w:p w:rsidR="003875FE" w:rsidRPr="004E73CE" w:rsidRDefault="003875FE" w:rsidP="003875FE">
      <w:pPr>
        <w:suppressAutoHyphens/>
        <w:spacing w:line="360" w:lineRule="auto"/>
        <w:ind w:firstLine="720"/>
        <w:jc w:val="both"/>
        <w:rPr>
          <w:rFonts w:eastAsia="SimSun"/>
          <w:kern w:val="1"/>
          <w:sz w:val="20"/>
          <w:szCs w:val="20"/>
          <w:lang w:eastAsia="hi-IN" w:bidi="hi-IN"/>
        </w:rPr>
      </w:pPr>
    </w:p>
    <w:p w:rsidR="003875FE" w:rsidRPr="004E73CE" w:rsidRDefault="003875FE" w:rsidP="007859EC">
      <w:pPr>
        <w:suppressAutoHyphens/>
        <w:spacing w:line="360" w:lineRule="auto"/>
        <w:jc w:val="both"/>
      </w:pPr>
      <w:r w:rsidRPr="004E73CE">
        <w:t xml:space="preserve">Ο κύκλος εργασιών της χρήσης παρουσίασε </w:t>
      </w:r>
      <w:r w:rsidR="004E73CE" w:rsidRPr="004E73CE">
        <w:t>μια μικρή μείωση</w:t>
      </w:r>
      <w:r w:rsidRPr="004E73CE">
        <w:t xml:space="preserve">, </w:t>
      </w:r>
      <w:r w:rsidR="004E73CE" w:rsidRPr="004E73CE">
        <w:t>παράλληλα όμως</w:t>
      </w:r>
      <w:r w:rsidRPr="004E73CE">
        <w:t xml:space="preserve"> ο εξορθολογισμός των δαπανών και η βελτίωση του διαχειριστικού κόστους βοήθησαν ώστε το αποτέλεσμα της χρήσης να </w:t>
      </w:r>
      <w:r w:rsidR="00525943" w:rsidRPr="004E73CE">
        <w:t>είναι</w:t>
      </w:r>
      <w:r w:rsidRPr="004E73CE">
        <w:t xml:space="preserve"> κερδοφόρο κατά </w:t>
      </w:r>
      <w:r w:rsidR="00525943" w:rsidRPr="00525943">
        <w:t xml:space="preserve">18.998,24 </w:t>
      </w:r>
      <w:r w:rsidRPr="004E73CE">
        <w:t xml:space="preserve"> χιλ € πρό φόρων. Μετά το φόρο ανήλθαν στο ποσό των </w:t>
      </w:r>
      <w:r w:rsidR="00525943" w:rsidRPr="00C642E4">
        <w:t>13.198,75</w:t>
      </w:r>
      <w:r w:rsidRPr="004E73CE">
        <w:t xml:space="preserve"> χιλ. €</w:t>
      </w:r>
      <w:r w:rsidR="00C642E4" w:rsidRPr="00C642E4">
        <w:t>.</w:t>
      </w:r>
      <w:r w:rsidRPr="004E73CE">
        <w:t>.</w:t>
      </w:r>
    </w:p>
    <w:p w:rsidR="003875FE" w:rsidRDefault="003875FE" w:rsidP="007859EC">
      <w:pPr>
        <w:suppressAutoHyphens/>
        <w:spacing w:line="360" w:lineRule="auto"/>
        <w:jc w:val="both"/>
      </w:pPr>
      <w:r w:rsidRPr="004E73CE">
        <w:t>Η πραγματική οικονομική κατάσταση της εταιρείας πρέπει να θεωρείται ότι ανταποκρίνεται στην εμφανιζόμενη εικόνα του Ισολογισμού της χρήσης 1/1/201</w:t>
      </w:r>
      <w:r w:rsidR="00525943" w:rsidRPr="00525943">
        <w:t>8</w:t>
      </w:r>
      <w:r w:rsidRPr="004E73CE">
        <w:t xml:space="preserve"> έως 31/12/201</w:t>
      </w:r>
      <w:r w:rsidR="00525943" w:rsidRPr="00525943">
        <w:t>8</w:t>
      </w:r>
      <w:r w:rsidRPr="004E73CE">
        <w:t>.</w:t>
      </w:r>
    </w:p>
    <w:p w:rsidR="004E73CE" w:rsidRPr="004E73CE" w:rsidRDefault="004E73CE" w:rsidP="007859EC">
      <w:pPr>
        <w:suppressAutoHyphens/>
        <w:spacing w:line="360" w:lineRule="auto"/>
        <w:jc w:val="both"/>
      </w:pPr>
    </w:p>
    <w:p w:rsidR="003875FE" w:rsidRPr="004E73CE" w:rsidRDefault="003875FE" w:rsidP="003875FE">
      <w:pPr>
        <w:suppressAutoHyphens/>
        <w:spacing w:line="360" w:lineRule="auto"/>
        <w:ind w:firstLine="720"/>
        <w:jc w:val="both"/>
        <w:rPr>
          <w:rFonts w:eastAsia="SimSun"/>
          <w:kern w:val="1"/>
          <w:sz w:val="20"/>
          <w:szCs w:val="20"/>
          <w:lang w:eastAsia="hi-IN" w:bidi="hi-IN"/>
        </w:rPr>
      </w:pPr>
    </w:p>
    <w:p w:rsidR="003875FE" w:rsidRPr="004E73CE" w:rsidRDefault="003875FE" w:rsidP="003875FE">
      <w:pPr>
        <w:numPr>
          <w:ilvl w:val="0"/>
          <w:numId w:val="2"/>
        </w:numPr>
        <w:tabs>
          <w:tab w:val="left" w:pos="720"/>
        </w:tabs>
        <w:suppressAutoHyphens/>
        <w:spacing w:line="360" w:lineRule="auto"/>
        <w:jc w:val="both"/>
        <w:rPr>
          <w:rFonts w:eastAsia="SimSun"/>
          <w:i/>
          <w:iCs/>
          <w:kern w:val="1"/>
          <w:szCs w:val="20"/>
          <w:u w:val="single"/>
          <w:lang w:eastAsia="hi-IN" w:bidi="hi-IN"/>
        </w:rPr>
      </w:pPr>
      <w:r w:rsidRPr="004E73CE">
        <w:rPr>
          <w:rFonts w:eastAsia="SimSun"/>
          <w:i/>
          <w:iCs/>
          <w:kern w:val="1"/>
          <w:szCs w:val="20"/>
          <w:u w:val="single"/>
          <w:lang w:eastAsia="hi-IN" w:bidi="hi-IN"/>
        </w:rPr>
        <w:t xml:space="preserve">Προοπτικές για το μέλλον </w:t>
      </w:r>
    </w:p>
    <w:p w:rsidR="003875FE" w:rsidRPr="004E73CE" w:rsidRDefault="003875FE" w:rsidP="003875FE">
      <w:pPr>
        <w:suppressAutoHyphens/>
        <w:spacing w:line="360" w:lineRule="auto"/>
        <w:jc w:val="both"/>
        <w:rPr>
          <w:rFonts w:eastAsia="SimSun"/>
          <w:kern w:val="1"/>
          <w:sz w:val="20"/>
          <w:szCs w:val="20"/>
          <w:lang w:eastAsia="hi-IN" w:bidi="hi-IN"/>
        </w:rPr>
      </w:pPr>
    </w:p>
    <w:p w:rsidR="003875FE" w:rsidRPr="004E73CE" w:rsidRDefault="003875FE" w:rsidP="003875FE">
      <w:pPr>
        <w:suppressAutoHyphens/>
        <w:spacing w:line="360" w:lineRule="auto"/>
        <w:jc w:val="both"/>
        <w:rPr>
          <w:rFonts w:eastAsia="SimSun"/>
          <w:kern w:val="1"/>
          <w:lang w:eastAsia="hi-IN" w:bidi="hi-IN"/>
        </w:rPr>
      </w:pPr>
      <w:r w:rsidRPr="004E73CE">
        <w:t>Η εταιρεία είναι αισιόδοξη για τη μελλοντική της πορεία. Οι προσπάθειες για βελτίωση των υπηρεσιών της και για επίτευξη χαμηλών εξόδων θα πρέπει να είναι συνεχείς προκειμένου να οδηγήσουν σε ακόμα καλύτερα αποτελέσματα</w:t>
      </w:r>
      <w:r w:rsidRPr="004E73CE">
        <w:rPr>
          <w:rFonts w:eastAsia="SimSun"/>
          <w:kern w:val="1"/>
          <w:lang w:eastAsia="hi-IN" w:bidi="hi-IN"/>
        </w:rPr>
        <w:t xml:space="preserve">. </w:t>
      </w:r>
    </w:p>
    <w:p w:rsidR="00E57476" w:rsidRPr="004E73CE" w:rsidRDefault="00E57476" w:rsidP="003875FE">
      <w:pPr>
        <w:suppressAutoHyphens/>
        <w:spacing w:line="360" w:lineRule="auto"/>
        <w:jc w:val="both"/>
        <w:rPr>
          <w:rFonts w:eastAsia="SimSun"/>
          <w:kern w:val="1"/>
          <w:lang w:eastAsia="hi-IN" w:bidi="hi-IN"/>
        </w:rPr>
      </w:pPr>
    </w:p>
    <w:p w:rsidR="003875FE" w:rsidRPr="004E73CE" w:rsidRDefault="003875FE" w:rsidP="003875FE">
      <w:pPr>
        <w:numPr>
          <w:ilvl w:val="0"/>
          <w:numId w:val="2"/>
        </w:numPr>
        <w:tabs>
          <w:tab w:val="left" w:pos="360"/>
        </w:tabs>
        <w:suppressAutoHyphens/>
        <w:spacing w:line="360" w:lineRule="auto"/>
        <w:jc w:val="both"/>
        <w:rPr>
          <w:rFonts w:eastAsia="SimSun"/>
          <w:kern w:val="1"/>
          <w:szCs w:val="20"/>
          <w:lang w:eastAsia="hi-IN" w:bidi="hi-IN"/>
        </w:rPr>
      </w:pPr>
      <w:r w:rsidRPr="004E73CE">
        <w:rPr>
          <w:rFonts w:eastAsia="SimSun"/>
          <w:i/>
          <w:iCs/>
          <w:kern w:val="1"/>
          <w:szCs w:val="20"/>
          <w:u w:val="single"/>
          <w:lang w:eastAsia="hi-IN" w:bidi="hi-IN"/>
        </w:rPr>
        <w:t>Κατεχόμενα από την εταιρεία χρεόγραφα</w:t>
      </w:r>
      <w:r w:rsidRPr="004E73CE">
        <w:rPr>
          <w:rFonts w:eastAsia="SimSun"/>
          <w:kern w:val="1"/>
          <w:szCs w:val="20"/>
          <w:lang w:eastAsia="hi-IN" w:bidi="hi-IN"/>
        </w:rPr>
        <w:t xml:space="preserve"> </w:t>
      </w:r>
    </w:p>
    <w:p w:rsidR="003875FE" w:rsidRPr="004E73CE" w:rsidRDefault="003875FE" w:rsidP="003875FE">
      <w:pPr>
        <w:tabs>
          <w:tab w:val="left" w:pos="360"/>
        </w:tabs>
        <w:suppressAutoHyphens/>
        <w:spacing w:line="360" w:lineRule="auto"/>
        <w:jc w:val="both"/>
        <w:rPr>
          <w:rFonts w:eastAsia="SimSun"/>
          <w:kern w:val="1"/>
          <w:lang w:eastAsia="hi-IN" w:bidi="hi-IN"/>
        </w:rPr>
      </w:pPr>
      <w:r w:rsidRPr="004E73CE">
        <w:rPr>
          <w:rFonts w:eastAsia="SimSun"/>
          <w:kern w:val="1"/>
          <w:lang w:eastAsia="hi-IN" w:bidi="hi-IN"/>
        </w:rPr>
        <w:t>Η εταιρεία κατά την χρήση 1/1/201</w:t>
      </w:r>
      <w:r w:rsidR="00525943" w:rsidRPr="00525943">
        <w:rPr>
          <w:rFonts w:eastAsia="SimSun"/>
          <w:kern w:val="1"/>
          <w:lang w:eastAsia="hi-IN" w:bidi="hi-IN"/>
        </w:rPr>
        <w:t>8</w:t>
      </w:r>
      <w:r w:rsidRPr="004E73CE">
        <w:rPr>
          <w:rFonts w:eastAsia="SimSun"/>
          <w:kern w:val="1"/>
          <w:lang w:eastAsia="hi-IN" w:bidi="hi-IN"/>
        </w:rPr>
        <w:t xml:space="preserve"> έως 31/12/201</w:t>
      </w:r>
      <w:r w:rsidR="00525943" w:rsidRPr="00525943">
        <w:rPr>
          <w:rFonts w:eastAsia="SimSun"/>
          <w:kern w:val="1"/>
          <w:lang w:eastAsia="hi-IN" w:bidi="hi-IN"/>
        </w:rPr>
        <w:t>8</w:t>
      </w:r>
      <w:r w:rsidRPr="004E73CE">
        <w:rPr>
          <w:rFonts w:eastAsia="SimSun"/>
          <w:kern w:val="1"/>
          <w:lang w:eastAsia="hi-IN" w:bidi="hi-IN"/>
        </w:rPr>
        <w:t xml:space="preserve"> δεν είχε στην κατοχή της χρεόγραφα.</w:t>
      </w:r>
    </w:p>
    <w:p w:rsidR="003875FE" w:rsidRPr="004E73CE" w:rsidRDefault="003875FE" w:rsidP="003875FE">
      <w:pPr>
        <w:tabs>
          <w:tab w:val="left" w:pos="360"/>
        </w:tabs>
        <w:suppressAutoHyphens/>
        <w:spacing w:line="360" w:lineRule="auto"/>
        <w:jc w:val="both"/>
        <w:rPr>
          <w:rFonts w:eastAsia="SimSun"/>
          <w:kern w:val="1"/>
          <w:sz w:val="20"/>
          <w:szCs w:val="20"/>
          <w:lang w:eastAsia="hi-IN" w:bidi="hi-IN"/>
        </w:rPr>
      </w:pPr>
    </w:p>
    <w:p w:rsidR="0052724D" w:rsidRPr="004E73CE" w:rsidRDefault="0052724D" w:rsidP="003875FE">
      <w:pPr>
        <w:numPr>
          <w:ilvl w:val="0"/>
          <w:numId w:val="2"/>
        </w:numPr>
        <w:tabs>
          <w:tab w:val="left" w:pos="360"/>
        </w:tabs>
        <w:suppressAutoHyphens/>
        <w:spacing w:line="360" w:lineRule="auto"/>
        <w:jc w:val="both"/>
        <w:rPr>
          <w:rFonts w:eastAsia="SimSun"/>
          <w:i/>
          <w:iCs/>
          <w:kern w:val="1"/>
          <w:szCs w:val="20"/>
          <w:u w:val="single"/>
          <w:lang w:eastAsia="hi-IN" w:bidi="hi-IN"/>
        </w:rPr>
      </w:pPr>
      <w:r w:rsidRPr="004E73CE">
        <w:rPr>
          <w:bCs/>
          <w:i/>
          <w:u w:val="single"/>
        </w:rPr>
        <w:t>Δραστηριότητες στον τομέα της έρευνας και ανάπτυξης</w:t>
      </w:r>
    </w:p>
    <w:p w:rsidR="0052724D" w:rsidRPr="004E73CE" w:rsidRDefault="007079BF" w:rsidP="0052724D">
      <w:pPr>
        <w:tabs>
          <w:tab w:val="left" w:pos="360"/>
        </w:tabs>
        <w:suppressAutoHyphens/>
        <w:spacing w:line="360" w:lineRule="auto"/>
        <w:ind w:left="360"/>
        <w:jc w:val="both"/>
        <w:rPr>
          <w:color w:val="333333"/>
        </w:rPr>
      </w:pPr>
      <w:r w:rsidRPr="004E73CE">
        <w:rPr>
          <w:color w:val="333333"/>
        </w:rPr>
        <w:t>Δ</w:t>
      </w:r>
      <w:r w:rsidR="0052724D" w:rsidRPr="004E73CE">
        <w:rPr>
          <w:color w:val="333333"/>
        </w:rPr>
        <w:t>εν υπάρχουν</w:t>
      </w:r>
      <w:r w:rsidRPr="004E73CE">
        <w:rPr>
          <w:color w:val="333333"/>
        </w:rPr>
        <w:t>.</w:t>
      </w:r>
    </w:p>
    <w:p w:rsidR="0052724D" w:rsidRPr="004E73CE" w:rsidRDefault="0052724D" w:rsidP="0052724D">
      <w:pPr>
        <w:tabs>
          <w:tab w:val="left" w:pos="360"/>
        </w:tabs>
        <w:suppressAutoHyphens/>
        <w:spacing w:line="360" w:lineRule="auto"/>
        <w:ind w:left="360"/>
        <w:jc w:val="both"/>
        <w:rPr>
          <w:rFonts w:eastAsia="SimSun"/>
          <w:iCs/>
          <w:kern w:val="1"/>
          <w:szCs w:val="20"/>
          <w:lang w:eastAsia="hi-IN" w:bidi="hi-IN"/>
        </w:rPr>
      </w:pPr>
    </w:p>
    <w:p w:rsidR="0052724D" w:rsidRPr="004E73CE" w:rsidRDefault="0052724D" w:rsidP="003875FE">
      <w:pPr>
        <w:numPr>
          <w:ilvl w:val="0"/>
          <w:numId w:val="2"/>
        </w:numPr>
        <w:tabs>
          <w:tab w:val="left" w:pos="360"/>
        </w:tabs>
        <w:suppressAutoHyphens/>
        <w:spacing w:line="360" w:lineRule="auto"/>
        <w:jc w:val="both"/>
        <w:rPr>
          <w:rFonts w:eastAsia="SimSun"/>
          <w:i/>
          <w:iCs/>
          <w:kern w:val="1"/>
          <w:szCs w:val="20"/>
          <w:u w:val="single"/>
          <w:lang w:eastAsia="hi-IN" w:bidi="hi-IN"/>
        </w:rPr>
      </w:pPr>
      <w:r w:rsidRPr="004E73CE">
        <w:rPr>
          <w:i/>
          <w:color w:val="333333"/>
          <w:u w:val="single"/>
        </w:rPr>
        <w:t>Πληροφορίες για τα χρηματοοικονομικά μέσα</w:t>
      </w:r>
    </w:p>
    <w:p w:rsidR="0052724D" w:rsidRPr="004E73CE" w:rsidRDefault="0052724D" w:rsidP="0052724D">
      <w:pPr>
        <w:tabs>
          <w:tab w:val="left" w:pos="360"/>
        </w:tabs>
        <w:suppressAutoHyphens/>
        <w:spacing w:line="360" w:lineRule="auto"/>
        <w:ind w:left="360"/>
        <w:jc w:val="both"/>
        <w:rPr>
          <w:color w:val="333333"/>
        </w:rPr>
      </w:pPr>
      <w:r w:rsidRPr="004E73CE">
        <w:rPr>
          <w:color w:val="333333"/>
        </w:rPr>
        <w:t>Δεν υπάρχουν</w:t>
      </w:r>
      <w:r w:rsidR="007079BF" w:rsidRPr="004E73CE">
        <w:rPr>
          <w:color w:val="333333"/>
        </w:rPr>
        <w:t>.</w:t>
      </w:r>
    </w:p>
    <w:p w:rsidR="0052724D" w:rsidRPr="004E73CE" w:rsidRDefault="0052724D" w:rsidP="0052724D">
      <w:pPr>
        <w:tabs>
          <w:tab w:val="left" w:pos="360"/>
        </w:tabs>
        <w:suppressAutoHyphens/>
        <w:spacing w:line="360" w:lineRule="auto"/>
        <w:ind w:left="360"/>
        <w:jc w:val="both"/>
        <w:rPr>
          <w:rFonts w:eastAsia="SimSun"/>
          <w:i/>
          <w:iCs/>
          <w:kern w:val="1"/>
          <w:szCs w:val="20"/>
          <w:u w:val="single"/>
          <w:lang w:eastAsia="hi-IN" w:bidi="hi-IN"/>
        </w:rPr>
      </w:pPr>
    </w:p>
    <w:p w:rsidR="0052724D" w:rsidRPr="004E73CE" w:rsidRDefault="0052724D" w:rsidP="003875FE">
      <w:pPr>
        <w:numPr>
          <w:ilvl w:val="0"/>
          <w:numId w:val="2"/>
        </w:numPr>
        <w:tabs>
          <w:tab w:val="left" w:pos="360"/>
        </w:tabs>
        <w:suppressAutoHyphens/>
        <w:spacing w:line="360" w:lineRule="auto"/>
        <w:jc w:val="both"/>
        <w:rPr>
          <w:rFonts w:eastAsia="SimSun"/>
          <w:i/>
          <w:iCs/>
          <w:kern w:val="1"/>
          <w:szCs w:val="20"/>
          <w:u w:val="single"/>
          <w:lang w:eastAsia="hi-IN" w:bidi="hi-IN"/>
        </w:rPr>
      </w:pPr>
      <w:r w:rsidRPr="004E73CE">
        <w:rPr>
          <w:bCs/>
          <w:i/>
          <w:u w:val="single"/>
        </w:rPr>
        <w:t>Διαθέσιμο συνάλλαγμα</w:t>
      </w:r>
    </w:p>
    <w:p w:rsidR="0052724D" w:rsidRPr="004E73CE" w:rsidRDefault="0052724D" w:rsidP="0052724D">
      <w:pPr>
        <w:tabs>
          <w:tab w:val="left" w:pos="360"/>
        </w:tabs>
        <w:suppressAutoHyphens/>
        <w:spacing w:line="360" w:lineRule="auto"/>
        <w:ind w:left="360"/>
        <w:jc w:val="both"/>
        <w:rPr>
          <w:bCs/>
        </w:rPr>
      </w:pPr>
      <w:r w:rsidRPr="004E73CE">
        <w:rPr>
          <w:bCs/>
        </w:rPr>
        <w:t>Δεν υπάρχει</w:t>
      </w:r>
      <w:r w:rsidR="007079BF" w:rsidRPr="004E73CE">
        <w:rPr>
          <w:bCs/>
        </w:rPr>
        <w:t>.</w:t>
      </w:r>
    </w:p>
    <w:p w:rsidR="0052724D" w:rsidRPr="004E73CE" w:rsidRDefault="0052724D" w:rsidP="0052724D">
      <w:pPr>
        <w:tabs>
          <w:tab w:val="left" w:pos="360"/>
        </w:tabs>
        <w:suppressAutoHyphens/>
        <w:spacing w:line="360" w:lineRule="auto"/>
        <w:ind w:left="360"/>
        <w:jc w:val="both"/>
        <w:rPr>
          <w:rFonts w:eastAsia="SimSun"/>
          <w:iCs/>
          <w:kern w:val="1"/>
          <w:sz w:val="20"/>
          <w:szCs w:val="20"/>
          <w:lang w:eastAsia="hi-IN" w:bidi="hi-IN"/>
        </w:rPr>
      </w:pPr>
    </w:p>
    <w:p w:rsidR="003875FE" w:rsidRPr="004E73CE" w:rsidRDefault="003875FE" w:rsidP="003875FE">
      <w:pPr>
        <w:numPr>
          <w:ilvl w:val="0"/>
          <w:numId w:val="2"/>
        </w:numPr>
        <w:tabs>
          <w:tab w:val="left" w:pos="360"/>
        </w:tabs>
        <w:suppressAutoHyphens/>
        <w:spacing w:line="360" w:lineRule="auto"/>
        <w:jc w:val="both"/>
        <w:rPr>
          <w:rFonts w:eastAsia="SimSun"/>
          <w:i/>
          <w:iCs/>
          <w:kern w:val="1"/>
          <w:szCs w:val="20"/>
          <w:u w:val="single"/>
          <w:lang w:eastAsia="hi-IN" w:bidi="hi-IN"/>
        </w:rPr>
      </w:pPr>
      <w:r w:rsidRPr="004E73CE">
        <w:rPr>
          <w:rFonts w:eastAsia="SimSun"/>
          <w:i/>
          <w:iCs/>
          <w:kern w:val="1"/>
          <w:szCs w:val="20"/>
          <w:u w:val="single"/>
          <w:lang w:eastAsia="hi-IN" w:bidi="hi-IN"/>
        </w:rPr>
        <w:t>Ακίνητα της εταιρείας</w:t>
      </w:r>
    </w:p>
    <w:p w:rsidR="0052724D" w:rsidRPr="004E73CE" w:rsidRDefault="0052724D" w:rsidP="0052724D">
      <w:pPr>
        <w:tabs>
          <w:tab w:val="left" w:pos="360"/>
        </w:tabs>
        <w:suppressAutoHyphens/>
        <w:spacing w:line="360" w:lineRule="auto"/>
        <w:jc w:val="both"/>
        <w:rPr>
          <w:rFonts w:eastAsia="SimSun"/>
          <w:kern w:val="1"/>
          <w:lang w:eastAsia="hi-IN" w:bidi="hi-IN"/>
        </w:rPr>
      </w:pPr>
      <w:r w:rsidRPr="004E73CE">
        <w:rPr>
          <w:rFonts w:eastAsia="SimSun"/>
          <w:kern w:val="1"/>
          <w:lang w:eastAsia="hi-IN" w:bidi="hi-IN"/>
        </w:rPr>
        <w:t xml:space="preserve">      Εντός της χρήσης δεν αποκτήθηκαν ακίνητα. </w:t>
      </w:r>
    </w:p>
    <w:p w:rsidR="0052724D" w:rsidRPr="004E73CE" w:rsidRDefault="0052724D" w:rsidP="0052724D">
      <w:pPr>
        <w:tabs>
          <w:tab w:val="left" w:pos="360"/>
        </w:tabs>
        <w:suppressAutoHyphens/>
        <w:spacing w:line="360" w:lineRule="auto"/>
        <w:jc w:val="both"/>
        <w:rPr>
          <w:rFonts w:eastAsia="SimSun"/>
          <w:i/>
          <w:iCs/>
          <w:kern w:val="1"/>
          <w:szCs w:val="20"/>
          <w:u w:val="single"/>
          <w:lang w:eastAsia="hi-IN" w:bidi="hi-IN"/>
        </w:rPr>
      </w:pPr>
    </w:p>
    <w:p w:rsidR="0052724D" w:rsidRPr="004E73CE" w:rsidRDefault="0052724D" w:rsidP="003875FE">
      <w:pPr>
        <w:numPr>
          <w:ilvl w:val="0"/>
          <w:numId w:val="2"/>
        </w:numPr>
        <w:tabs>
          <w:tab w:val="left" w:pos="360"/>
        </w:tabs>
        <w:suppressAutoHyphens/>
        <w:spacing w:line="360" w:lineRule="auto"/>
        <w:jc w:val="both"/>
        <w:rPr>
          <w:rFonts w:eastAsia="SimSun"/>
          <w:i/>
          <w:iCs/>
          <w:kern w:val="1"/>
          <w:szCs w:val="20"/>
          <w:u w:val="single"/>
          <w:lang w:eastAsia="hi-IN" w:bidi="hi-IN"/>
        </w:rPr>
      </w:pPr>
      <w:r w:rsidRPr="004E73CE">
        <w:rPr>
          <w:rFonts w:eastAsia="SimSun"/>
          <w:i/>
          <w:iCs/>
          <w:kern w:val="1"/>
          <w:szCs w:val="20"/>
          <w:u w:val="single"/>
          <w:lang w:eastAsia="hi-IN" w:bidi="hi-IN"/>
        </w:rPr>
        <w:t>Εργασιακά θέματα</w:t>
      </w:r>
    </w:p>
    <w:p w:rsidR="0052724D" w:rsidRDefault="0052724D" w:rsidP="003B7C82">
      <w:pPr>
        <w:tabs>
          <w:tab w:val="left" w:pos="1440"/>
        </w:tabs>
        <w:spacing w:line="360" w:lineRule="auto"/>
        <w:jc w:val="both"/>
        <w:rPr>
          <w:bCs/>
          <w:iCs/>
          <w:spacing w:val="-2"/>
        </w:rPr>
      </w:pPr>
      <w:r w:rsidRPr="004E73CE">
        <w:rPr>
          <w:bCs/>
          <w:iCs/>
          <w:spacing w:val="-2"/>
        </w:rPr>
        <w:t>Η Εταιρεία, δίνει έμφαση στο υψηλό επίπεδο, την επαγγελματική εμπειρία, αλλά και το προσωπικό ήθος των στελεχών της. Τηρεί απαρέγκλιτα τις διατάξεις της εργατικής νομοθεσίας και εκπληρώνει όλες τις υποχρεώσεις της απέναντι στην Επιθεώρηση Εργασίας και στους Ασφαλιστικούς φορείς</w:t>
      </w:r>
    </w:p>
    <w:p w:rsidR="00525943" w:rsidRPr="004E73CE" w:rsidRDefault="00525943" w:rsidP="003B7C82">
      <w:pPr>
        <w:tabs>
          <w:tab w:val="left" w:pos="1440"/>
        </w:tabs>
        <w:spacing w:line="360" w:lineRule="auto"/>
        <w:jc w:val="both"/>
        <w:rPr>
          <w:bCs/>
          <w:iCs/>
          <w:spacing w:val="-2"/>
        </w:rPr>
      </w:pPr>
    </w:p>
    <w:p w:rsidR="0052724D" w:rsidRPr="004E73CE" w:rsidRDefault="0052724D" w:rsidP="0052724D">
      <w:pPr>
        <w:tabs>
          <w:tab w:val="left" w:pos="1440"/>
        </w:tabs>
        <w:spacing w:line="360" w:lineRule="auto"/>
        <w:ind w:left="720"/>
        <w:rPr>
          <w:b/>
          <w:color w:val="333333"/>
        </w:rPr>
      </w:pPr>
    </w:p>
    <w:p w:rsidR="0052724D" w:rsidRPr="004E73CE" w:rsidRDefault="0052724D" w:rsidP="007079BF">
      <w:pPr>
        <w:numPr>
          <w:ilvl w:val="0"/>
          <w:numId w:val="2"/>
        </w:numPr>
        <w:tabs>
          <w:tab w:val="left" w:pos="360"/>
        </w:tabs>
        <w:suppressAutoHyphens/>
        <w:spacing w:line="360" w:lineRule="auto"/>
        <w:jc w:val="both"/>
        <w:rPr>
          <w:rFonts w:eastAsia="SimSun"/>
          <w:i/>
          <w:iCs/>
          <w:kern w:val="1"/>
          <w:szCs w:val="20"/>
          <w:u w:val="single"/>
          <w:lang w:eastAsia="hi-IN" w:bidi="hi-IN"/>
        </w:rPr>
      </w:pPr>
      <w:r w:rsidRPr="004E73CE">
        <w:rPr>
          <w:rFonts w:eastAsia="SimSun"/>
          <w:i/>
          <w:iCs/>
          <w:kern w:val="1"/>
          <w:szCs w:val="20"/>
          <w:u w:val="single"/>
          <w:lang w:eastAsia="hi-IN" w:bidi="hi-IN"/>
        </w:rPr>
        <w:t xml:space="preserve"> Περιβαλλοντικά θέματα</w:t>
      </w:r>
    </w:p>
    <w:p w:rsidR="0052724D" w:rsidRPr="004E73CE" w:rsidRDefault="0052724D" w:rsidP="003B7C82">
      <w:pPr>
        <w:spacing w:line="360" w:lineRule="auto"/>
        <w:jc w:val="both"/>
        <w:rPr>
          <w:bCs/>
          <w:iCs/>
          <w:spacing w:val="-2"/>
        </w:rPr>
      </w:pPr>
      <w:r w:rsidRPr="004E73CE">
        <w:rPr>
          <w:bCs/>
          <w:spacing w:val="-2"/>
        </w:rPr>
        <w:t>Η Εταιρεία αναγνωρίζει την ανάγκη για συνεχή βελτίωση της περιβαλλοντικής επίδοσης με βάση τις αρχές της αειφόρου ανάπτυξης κ</w:t>
      </w:r>
      <w:r w:rsidR="003B7C82" w:rsidRPr="004E73CE">
        <w:rPr>
          <w:bCs/>
          <w:spacing w:val="-2"/>
        </w:rPr>
        <w:t xml:space="preserve">αι σε συμμόρφωση με την κείμενη </w:t>
      </w:r>
      <w:r w:rsidRPr="004E73CE">
        <w:rPr>
          <w:bCs/>
          <w:spacing w:val="-2"/>
        </w:rPr>
        <w:lastRenderedPageBreak/>
        <w:t>νομοθεσία και τα διεθνή πρότυπα και στοχεύει σε μία ισορροπημένη οικονομική ανάπτυξη σε αρμονία με το φυσικό περιβάλλον. Ακολουθώντας τις ανωτέρω αρχές, η Εταιρεία ασκεί τις δραστηριότητές της με τρόπο που εξασφαλίζει αφενός την προστασία του περιβάλλοντος και αφετέρου την υγιεινή και την ασφάλεια των εργαζομένων της.</w:t>
      </w:r>
    </w:p>
    <w:p w:rsidR="0052724D" w:rsidRPr="004E73CE" w:rsidRDefault="0052724D" w:rsidP="0052724D">
      <w:pPr>
        <w:tabs>
          <w:tab w:val="left" w:pos="1440"/>
        </w:tabs>
        <w:spacing w:line="360" w:lineRule="auto"/>
        <w:ind w:left="720"/>
        <w:rPr>
          <w:b/>
          <w:color w:val="333333"/>
        </w:rPr>
      </w:pPr>
    </w:p>
    <w:p w:rsidR="0052724D" w:rsidRDefault="0052724D" w:rsidP="007079BF">
      <w:pPr>
        <w:numPr>
          <w:ilvl w:val="0"/>
          <w:numId w:val="2"/>
        </w:numPr>
        <w:tabs>
          <w:tab w:val="left" w:pos="360"/>
        </w:tabs>
        <w:suppressAutoHyphens/>
        <w:spacing w:line="360" w:lineRule="auto"/>
        <w:jc w:val="both"/>
        <w:rPr>
          <w:rFonts w:eastAsia="SimSun"/>
          <w:i/>
          <w:iCs/>
          <w:kern w:val="1"/>
          <w:szCs w:val="20"/>
          <w:u w:val="single"/>
          <w:lang w:eastAsia="hi-IN" w:bidi="hi-IN"/>
        </w:rPr>
      </w:pPr>
      <w:r w:rsidRPr="004E73CE">
        <w:rPr>
          <w:rFonts w:eastAsia="SimSun"/>
          <w:i/>
          <w:iCs/>
          <w:kern w:val="1"/>
          <w:szCs w:val="20"/>
          <w:u w:val="single"/>
          <w:lang w:eastAsia="hi-IN" w:bidi="hi-IN"/>
        </w:rPr>
        <w:t>Διαχείριση κινδύνων</w:t>
      </w:r>
    </w:p>
    <w:p w:rsidR="004E73CE" w:rsidRPr="004E73CE" w:rsidRDefault="004E73CE" w:rsidP="004E73CE">
      <w:pPr>
        <w:tabs>
          <w:tab w:val="left" w:pos="360"/>
        </w:tabs>
        <w:suppressAutoHyphens/>
        <w:spacing w:line="360" w:lineRule="auto"/>
        <w:ind w:left="360"/>
        <w:jc w:val="both"/>
        <w:rPr>
          <w:rFonts w:eastAsia="SimSun"/>
          <w:i/>
          <w:iCs/>
          <w:kern w:val="1"/>
          <w:szCs w:val="20"/>
          <w:u w:val="single"/>
          <w:lang w:eastAsia="hi-IN" w:bidi="hi-IN"/>
        </w:rPr>
      </w:pPr>
    </w:p>
    <w:p w:rsidR="0052724D" w:rsidRPr="004E73CE" w:rsidRDefault="0052724D" w:rsidP="0052724D">
      <w:pPr>
        <w:numPr>
          <w:ilvl w:val="0"/>
          <w:numId w:val="5"/>
        </w:numPr>
        <w:jc w:val="both"/>
        <w:rPr>
          <w:b/>
          <w:sz w:val="22"/>
          <w:szCs w:val="22"/>
        </w:rPr>
      </w:pPr>
      <w:r w:rsidRPr="004E73CE">
        <w:rPr>
          <w:b/>
          <w:sz w:val="22"/>
          <w:szCs w:val="22"/>
        </w:rPr>
        <w:t>Πιστωτικός κίνδυνος</w:t>
      </w:r>
    </w:p>
    <w:p w:rsidR="0052724D" w:rsidRPr="004E73CE" w:rsidRDefault="0052724D" w:rsidP="0052724D">
      <w:pPr>
        <w:ind w:left="720"/>
        <w:jc w:val="both"/>
        <w:rPr>
          <w:b/>
          <w:sz w:val="22"/>
          <w:szCs w:val="22"/>
        </w:rPr>
      </w:pPr>
    </w:p>
    <w:p w:rsidR="0052724D" w:rsidRPr="004E73CE" w:rsidRDefault="00E761C8" w:rsidP="003B7C82">
      <w:pPr>
        <w:spacing w:line="360" w:lineRule="auto"/>
        <w:jc w:val="both"/>
        <w:rPr>
          <w:bCs/>
          <w:iCs/>
          <w:color w:val="000000"/>
          <w:spacing w:val="-2"/>
        </w:rPr>
      </w:pPr>
      <w:r w:rsidRPr="004E73CE">
        <w:rPr>
          <w:bCs/>
          <w:iCs/>
          <w:color w:val="000000"/>
          <w:spacing w:val="-2"/>
        </w:rPr>
        <w:t>Τ</w:t>
      </w:r>
      <w:r w:rsidR="0052724D" w:rsidRPr="004E73CE">
        <w:rPr>
          <w:bCs/>
          <w:iCs/>
          <w:color w:val="000000"/>
          <w:spacing w:val="-2"/>
        </w:rPr>
        <w:t>ο μεγαλύτερο μέρος του τζ</w:t>
      </w:r>
      <w:r w:rsidRPr="004E73CE">
        <w:rPr>
          <w:bCs/>
          <w:iCs/>
          <w:color w:val="000000"/>
          <w:spacing w:val="-2"/>
        </w:rPr>
        <w:t>ίρου αφορά σε λιανικές πωλήσεις οπότε δεν υφίσταται τέτοιος κίνδυνος.</w:t>
      </w:r>
    </w:p>
    <w:p w:rsidR="0052724D" w:rsidRPr="004E73CE" w:rsidRDefault="0052724D" w:rsidP="0052724D">
      <w:pPr>
        <w:pStyle w:val="yiv8246929700msonormal"/>
        <w:numPr>
          <w:ilvl w:val="0"/>
          <w:numId w:val="5"/>
        </w:numPr>
        <w:spacing w:line="360" w:lineRule="auto"/>
        <w:jc w:val="both"/>
        <w:rPr>
          <w:b/>
        </w:rPr>
      </w:pPr>
      <w:r w:rsidRPr="004E73CE">
        <w:rPr>
          <w:b/>
        </w:rPr>
        <w:t>Συναλλαγματικός κίνδυνος</w:t>
      </w:r>
    </w:p>
    <w:p w:rsidR="0052724D" w:rsidRDefault="0052724D" w:rsidP="003B7C82">
      <w:pPr>
        <w:spacing w:line="360" w:lineRule="auto"/>
        <w:jc w:val="both"/>
        <w:rPr>
          <w:bCs/>
          <w:color w:val="000000"/>
          <w:spacing w:val="-2"/>
        </w:rPr>
      </w:pPr>
      <w:r w:rsidRPr="004E73CE">
        <w:rPr>
          <w:bCs/>
          <w:color w:val="000000"/>
          <w:spacing w:val="-2"/>
        </w:rPr>
        <w:t>Η Εταιρεία δεν έχει συναλλαγές σε ξένο νόμισμα και ως εκ τούτου δεν υφίσταται τέτοιος κίνδυνος.</w:t>
      </w:r>
    </w:p>
    <w:p w:rsidR="00E54CCA" w:rsidRPr="004E73CE" w:rsidRDefault="00E54CCA" w:rsidP="003B7C82">
      <w:pPr>
        <w:spacing w:line="360" w:lineRule="auto"/>
        <w:jc w:val="both"/>
        <w:rPr>
          <w:bCs/>
          <w:color w:val="000000"/>
          <w:spacing w:val="-2"/>
        </w:rPr>
      </w:pPr>
    </w:p>
    <w:p w:rsidR="0052724D" w:rsidRPr="004E73CE" w:rsidRDefault="0052724D" w:rsidP="0052724D">
      <w:pPr>
        <w:numPr>
          <w:ilvl w:val="0"/>
          <w:numId w:val="5"/>
        </w:numPr>
        <w:spacing w:line="360" w:lineRule="auto"/>
        <w:rPr>
          <w:b/>
        </w:rPr>
      </w:pPr>
      <w:r w:rsidRPr="004E73CE">
        <w:rPr>
          <w:b/>
        </w:rPr>
        <w:t>Κίνδυνος τιμής</w:t>
      </w:r>
    </w:p>
    <w:p w:rsidR="0052724D" w:rsidRDefault="0052724D" w:rsidP="003B7C82">
      <w:pPr>
        <w:spacing w:line="360" w:lineRule="auto"/>
        <w:jc w:val="both"/>
        <w:rPr>
          <w:bCs/>
          <w:color w:val="000000"/>
          <w:spacing w:val="-2"/>
        </w:rPr>
      </w:pPr>
      <w:r w:rsidRPr="004E73CE">
        <w:rPr>
          <w:bCs/>
          <w:color w:val="000000"/>
          <w:spacing w:val="-2"/>
        </w:rPr>
        <w:t xml:space="preserve">Η Εταιρεία δεν εκτίθεται σε σημαντικές μεταβολές των τιμών. Ωστόσο, η εταιρεία </w:t>
      </w:r>
      <w:r w:rsidRPr="004E73CE">
        <w:t>θέτει ως βασική προϋπόθεση συνεργασίας με τους προμηθευτές της, τη δέσμευση για σταθερές τιμές τουλάχιστον σε ετήσια βάση. Επιπλέον βελτίωση των τιμών επιχειρείται, με την επίτευξη οικονομιών κλίμακας, μέσω του όγκου των προγραμματισμένων της αγορών από τους προμηθευτές της.</w:t>
      </w:r>
      <w:r w:rsidRPr="004E73CE">
        <w:rPr>
          <w:bCs/>
          <w:color w:val="000000"/>
          <w:spacing w:val="-2"/>
        </w:rPr>
        <w:t xml:space="preserve">    </w:t>
      </w:r>
    </w:p>
    <w:p w:rsidR="00E54CCA" w:rsidRPr="004E73CE" w:rsidRDefault="00E54CCA" w:rsidP="003B7C82">
      <w:pPr>
        <w:spacing w:line="360" w:lineRule="auto"/>
        <w:jc w:val="both"/>
        <w:rPr>
          <w:bCs/>
          <w:color w:val="000000"/>
          <w:spacing w:val="-2"/>
        </w:rPr>
      </w:pPr>
    </w:p>
    <w:p w:rsidR="0052724D" w:rsidRPr="004E73CE" w:rsidRDefault="0052724D" w:rsidP="0052724D">
      <w:pPr>
        <w:numPr>
          <w:ilvl w:val="0"/>
          <w:numId w:val="5"/>
        </w:numPr>
        <w:spacing w:line="360" w:lineRule="auto"/>
        <w:rPr>
          <w:b/>
        </w:rPr>
      </w:pPr>
      <w:r w:rsidRPr="004E73CE">
        <w:rPr>
          <w:b/>
        </w:rPr>
        <w:t>Ταμειακές ροές και δίκαιη αξία επιτοκίου κινδύνου</w:t>
      </w:r>
    </w:p>
    <w:p w:rsidR="0052724D" w:rsidRDefault="0052724D" w:rsidP="00E761C8">
      <w:pPr>
        <w:spacing w:line="360" w:lineRule="auto"/>
        <w:jc w:val="both"/>
        <w:rPr>
          <w:bCs/>
          <w:color w:val="000000"/>
          <w:spacing w:val="-2"/>
        </w:rPr>
      </w:pPr>
      <w:r w:rsidRPr="004E73CE">
        <w:rPr>
          <w:bCs/>
          <w:color w:val="000000"/>
          <w:spacing w:val="-2"/>
        </w:rPr>
        <w:t>Η Εταιρεία, πέραν των καταθέσεων όψεως, δεν έχει έντοκα στοιχεία ενεργητικού και παθητικού και συνεπώς το εισόδημα και οι λειτουργικές ταμειακές ροές της είναι ουσιωδώς ανεξάρτητες από τις αλλαγές στην αγορά των επιτοκίων.</w:t>
      </w:r>
    </w:p>
    <w:p w:rsidR="00525943" w:rsidRPr="004E73CE" w:rsidRDefault="00525943" w:rsidP="00E761C8">
      <w:pPr>
        <w:spacing w:line="360" w:lineRule="auto"/>
        <w:jc w:val="both"/>
        <w:rPr>
          <w:bCs/>
          <w:color w:val="000000"/>
          <w:spacing w:val="-2"/>
        </w:rPr>
      </w:pPr>
    </w:p>
    <w:p w:rsidR="0052724D" w:rsidRPr="004E73CE" w:rsidRDefault="0052724D" w:rsidP="0052724D">
      <w:pPr>
        <w:numPr>
          <w:ilvl w:val="0"/>
          <w:numId w:val="5"/>
        </w:numPr>
        <w:spacing w:line="360" w:lineRule="auto"/>
        <w:rPr>
          <w:b/>
        </w:rPr>
      </w:pPr>
      <w:r w:rsidRPr="004E73CE">
        <w:rPr>
          <w:b/>
        </w:rPr>
        <w:t>Κίνδυνος ρευστότητας</w:t>
      </w:r>
    </w:p>
    <w:p w:rsidR="0052724D" w:rsidRPr="004E73CE" w:rsidRDefault="0052724D" w:rsidP="00E761C8">
      <w:pPr>
        <w:spacing w:line="360" w:lineRule="auto"/>
        <w:jc w:val="both"/>
      </w:pPr>
      <w:r w:rsidRPr="004E73CE">
        <w:rPr>
          <w:bCs/>
          <w:color w:val="000000"/>
          <w:spacing w:val="-2"/>
        </w:rPr>
        <w:t>Η διοίκηση παρακολουθεί τις κυλιόμενες προβλέψεις των απαιτήσεων ρευστότητας της Εταιρείας για να διασφαλίσει ότι υπάρχει η αναγκαία ρευστότητα για τις λειτουργικές της ανάγκες.</w:t>
      </w:r>
      <w:r w:rsidRPr="004E73CE">
        <w:t xml:space="preserve"> </w:t>
      </w:r>
    </w:p>
    <w:p w:rsidR="0052724D" w:rsidRPr="004E73CE" w:rsidRDefault="0052724D" w:rsidP="0052724D">
      <w:pPr>
        <w:tabs>
          <w:tab w:val="left" w:pos="1440"/>
        </w:tabs>
        <w:spacing w:line="360" w:lineRule="auto"/>
        <w:ind w:left="720"/>
        <w:rPr>
          <w:b/>
          <w:color w:val="333333"/>
        </w:rPr>
      </w:pPr>
    </w:p>
    <w:p w:rsidR="0052724D" w:rsidRDefault="0052724D" w:rsidP="003875FE">
      <w:pPr>
        <w:tabs>
          <w:tab w:val="left" w:pos="360"/>
        </w:tabs>
        <w:suppressAutoHyphens/>
        <w:spacing w:line="360" w:lineRule="auto"/>
        <w:jc w:val="both"/>
        <w:rPr>
          <w:rFonts w:eastAsia="SimSun"/>
          <w:kern w:val="1"/>
          <w:sz w:val="20"/>
          <w:szCs w:val="20"/>
          <w:lang w:eastAsia="hi-IN" w:bidi="hi-IN"/>
        </w:rPr>
      </w:pPr>
    </w:p>
    <w:p w:rsidR="004E73CE" w:rsidRDefault="004E73CE" w:rsidP="003875FE">
      <w:pPr>
        <w:tabs>
          <w:tab w:val="left" w:pos="360"/>
        </w:tabs>
        <w:suppressAutoHyphens/>
        <w:spacing w:line="360" w:lineRule="auto"/>
        <w:jc w:val="both"/>
        <w:rPr>
          <w:rFonts w:eastAsia="SimSun"/>
          <w:kern w:val="1"/>
          <w:sz w:val="20"/>
          <w:szCs w:val="20"/>
          <w:lang w:eastAsia="hi-IN" w:bidi="hi-IN"/>
        </w:rPr>
      </w:pPr>
    </w:p>
    <w:p w:rsidR="004E73CE" w:rsidRDefault="004E73CE" w:rsidP="003875FE">
      <w:pPr>
        <w:tabs>
          <w:tab w:val="left" w:pos="360"/>
        </w:tabs>
        <w:suppressAutoHyphens/>
        <w:spacing w:line="360" w:lineRule="auto"/>
        <w:jc w:val="both"/>
        <w:rPr>
          <w:rFonts w:eastAsia="SimSun"/>
          <w:kern w:val="1"/>
          <w:sz w:val="20"/>
          <w:szCs w:val="20"/>
          <w:lang w:eastAsia="hi-IN" w:bidi="hi-IN"/>
        </w:rPr>
      </w:pPr>
    </w:p>
    <w:p w:rsidR="003875FE" w:rsidRPr="004E73CE" w:rsidRDefault="003875FE" w:rsidP="003875FE">
      <w:pPr>
        <w:suppressAutoHyphens/>
        <w:spacing w:line="360" w:lineRule="auto"/>
        <w:rPr>
          <w:rFonts w:eastAsia="SimSun"/>
          <w:kern w:val="1"/>
          <w:sz w:val="20"/>
          <w:lang w:eastAsia="hi-IN" w:bidi="hi-IN"/>
        </w:rPr>
      </w:pPr>
    </w:p>
    <w:p w:rsidR="003875FE" w:rsidRPr="004E73CE" w:rsidRDefault="007079BF" w:rsidP="003875FE">
      <w:pPr>
        <w:suppressAutoHyphens/>
        <w:spacing w:line="360" w:lineRule="auto"/>
        <w:jc w:val="both"/>
        <w:rPr>
          <w:rFonts w:eastAsia="SimSun"/>
          <w:i/>
          <w:kern w:val="1"/>
          <w:szCs w:val="20"/>
          <w:u w:val="single"/>
          <w:lang w:eastAsia="hi-IN" w:bidi="hi-IN"/>
        </w:rPr>
      </w:pPr>
      <w:r w:rsidRPr="004E73CE">
        <w:rPr>
          <w:rFonts w:eastAsia="SimSun"/>
          <w:i/>
          <w:kern w:val="1"/>
          <w:szCs w:val="20"/>
          <w:lang w:eastAsia="hi-IN" w:bidi="hi-IN"/>
        </w:rPr>
        <w:t>12</w:t>
      </w:r>
      <w:r w:rsidR="003875FE" w:rsidRPr="004E73CE">
        <w:rPr>
          <w:rFonts w:eastAsia="SimSun"/>
          <w:i/>
          <w:kern w:val="1"/>
          <w:szCs w:val="20"/>
          <w:lang w:eastAsia="hi-IN" w:bidi="hi-IN"/>
        </w:rPr>
        <w:t xml:space="preserve">. </w:t>
      </w:r>
      <w:r w:rsidR="003875FE" w:rsidRPr="004E73CE">
        <w:rPr>
          <w:rFonts w:eastAsia="SimSun"/>
          <w:i/>
          <w:kern w:val="1"/>
          <w:szCs w:val="20"/>
          <w:u w:val="single"/>
          <w:lang w:eastAsia="hi-IN" w:bidi="hi-IN"/>
        </w:rPr>
        <w:t>Άλλα σημαντικά γεγονότα</w:t>
      </w:r>
    </w:p>
    <w:p w:rsidR="003875FE" w:rsidRPr="004E73CE" w:rsidRDefault="003875FE" w:rsidP="003875FE">
      <w:pPr>
        <w:suppressAutoHyphens/>
        <w:spacing w:line="360" w:lineRule="auto"/>
        <w:jc w:val="both"/>
        <w:rPr>
          <w:bCs/>
          <w:color w:val="000000"/>
          <w:spacing w:val="-2"/>
        </w:rPr>
      </w:pPr>
      <w:r w:rsidRPr="004E73CE">
        <w:rPr>
          <w:bCs/>
          <w:color w:val="000000"/>
          <w:spacing w:val="-2"/>
        </w:rPr>
        <w:t>Από τη λήξη της κλειόμενης χρήσεως 31/12/201</w:t>
      </w:r>
      <w:r w:rsidR="00525943" w:rsidRPr="00525943">
        <w:rPr>
          <w:bCs/>
          <w:color w:val="000000"/>
          <w:spacing w:val="-2"/>
        </w:rPr>
        <w:t>8</w:t>
      </w:r>
      <w:r w:rsidRPr="004E73CE">
        <w:rPr>
          <w:bCs/>
          <w:color w:val="000000"/>
          <w:spacing w:val="-2"/>
        </w:rPr>
        <w:t xml:space="preserve"> μέχρι την ημέρα της σύνταξης της παρούσας έκθεσης δεν συνέβησαν άλλα σημαντικά γεγονότα που θα έπρεπε να αναφερθούν στην παρούσα έκθεση και η όλη πορεία των εργασιών της εταιρείας βαίνει ομαλά.</w:t>
      </w:r>
    </w:p>
    <w:p w:rsidR="003875FE" w:rsidRPr="004E73CE" w:rsidRDefault="003875FE" w:rsidP="003875FE">
      <w:pPr>
        <w:suppressAutoHyphens/>
        <w:spacing w:line="360" w:lineRule="auto"/>
        <w:jc w:val="both"/>
        <w:rPr>
          <w:rFonts w:eastAsia="SimSun"/>
          <w:kern w:val="1"/>
          <w:sz w:val="20"/>
          <w:szCs w:val="20"/>
          <w:lang w:eastAsia="hi-IN" w:bidi="hi-IN"/>
        </w:rPr>
      </w:pPr>
    </w:p>
    <w:p w:rsidR="003875FE" w:rsidRPr="007B6F5D" w:rsidRDefault="003875FE" w:rsidP="003875FE">
      <w:pPr>
        <w:spacing w:line="360" w:lineRule="auto"/>
        <w:jc w:val="center"/>
        <w:rPr>
          <w:lang w:val="en-US"/>
        </w:rPr>
      </w:pPr>
      <w:r w:rsidRPr="00F36690">
        <w:t xml:space="preserve">Βύρωνας, </w:t>
      </w:r>
      <w:r w:rsidR="007B6F5D" w:rsidRPr="00F36690">
        <w:rPr>
          <w:lang w:val="en-US"/>
        </w:rPr>
        <w:t xml:space="preserve">24 </w:t>
      </w:r>
      <w:r w:rsidRPr="00F36690">
        <w:t>Ιου</w:t>
      </w:r>
      <w:r w:rsidR="004E73CE" w:rsidRPr="00F36690">
        <w:t>λ</w:t>
      </w:r>
      <w:r w:rsidRPr="00F36690">
        <w:t>ίου 201</w:t>
      </w:r>
      <w:r w:rsidR="007B6F5D" w:rsidRPr="00F36690">
        <w:rPr>
          <w:lang w:val="en-US"/>
        </w:rPr>
        <w:t>9</w:t>
      </w:r>
    </w:p>
    <w:p w:rsidR="003875FE" w:rsidRPr="004E73CE" w:rsidRDefault="003875FE" w:rsidP="003875FE">
      <w:pPr>
        <w:spacing w:line="360" w:lineRule="auto"/>
        <w:jc w:val="center"/>
      </w:pPr>
    </w:p>
    <w:tbl>
      <w:tblPr>
        <w:tblW w:w="9039" w:type="dxa"/>
        <w:tblLook w:val="04A0" w:firstRow="1" w:lastRow="0" w:firstColumn="1" w:lastColumn="0" w:noHBand="0" w:noVBand="1"/>
      </w:tblPr>
      <w:tblGrid>
        <w:gridCol w:w="2812"/>
        <w:gridCol w:w="2894"/>
        <w:gridCol w:w="3333"/>
      </w:tblGrid>
      <w:tr w:rsidR="003875FE" w:rsidRPr="004E73CE" w:rsidTr="0052724D">
        <w:tc>
          <w:tcPr>
            <w:tcW w:w="2812" w:type="dxa"/>
            <w:shd w:val="clear" w:color="auto" w:fill="auto"/>
          </w:tcPr>
          <w:p w:rsidR="003875FE" w:rsidRPr="004E73CE" w:rsidRDefault="003875FE" w:rsidP="008D6173">
            <w:pPr>
              <w:widowControl w:val="0"/>
              <w:tabs>
                <w:tab w:val="left" w:pos="5670"/>
                <w:tab w:val="right" w:pos="7796"/>
              </w:tabs>
              <w:spacing w:line="360" w:lineRule="auto"/>
              <w:jc w:val="center"/>
            </w:pPr>
            <w:r w:rsidRPr="004E73CE">
              <w:t>Ο ΠΡΟΕΔΡΟΣ ΤΟΥ Δ.Σ.</w:t>
            </w:r>
          </w:p>
        </w:tc>
        <w:tc>
          <w:tcPr>
            <w:tcW w:w="2894" w:type="dxa"/>
            <w:shd w:val="clear" w:color="auto" w:fill="auto"/>
          </w:tcPr>
          <w:p w:rsidR="003875FE" w:rsidRPr="004E73CE" w:rsidRDefault="003875FE" w:rsidP="008D6173">
            <w:pPr>
              <w:widowControl w:val="0"/>
              <w:tabs>
                <w:tab w:val="left" w:pos="5670"/>
                <w:tab w:val="right" w:pos="7796"/>
              </w:tabs>
              <w:spacing w:line="360" w:lineRule="auto"/>
              <w:jc w:val="center"/>
            </w:pPr>
            <w:r w:rsidRPr="004E73CE">
              <w:t>ΤΟ ΜΕΛΟΣ ΤΟΥ ΔΣ</w:t>
            </w:r>
          </w:p>
        </w:tc>
        <w:tc>
          <w:tcPr>
            <w:tcW w:w="3333" w:type="dxa"/>
            <w:shd w:val="clear" w:color="auto" w:fill="auto"/>
          </w:tcPr>
          <w:p w:rsidR="00464FC9" w:rsidRDefault="003875FE" w:rsidP="00525943">
            <w:pPr>
              <w:widowControl w:val="0"/>
              <w:tabs>
                <w:tab w:val="left" w:pos="5670"/>
                <w:tab w:val="right" w:pos="7796"/>
              </w:tabs>
              <w:jc w:val="center"/>
              <w:rPr>
                <w:rFonts w:ascii="Cambria" w:hAnsi="Cambria"/>
                <w:sz w:val="20"/>
              </w:rPr>
            </w:pPr>
            <w:r w:rsidRPr="004E73CE">
              <w:rPr>
                <w:sz w:val="20"/>
              </w:rPr>
              <w:t xml:space="preserve">    </w:t>
            </w:r>
            <w:r w:rsidR="00525943" w:rsidRPr="00C966BB">
              <w:rPr>
                <w:rFonts w:ascii="Cambria" w:hAnsi="Cambria"/>
                <w:sz w:val="20"/>
              </w:rPr>
              <w:t xml:space="preserve">ΓΙΑ ΤΗΝ </w:t>
            </w:r>
          </w:p>
          <w:p w:rsidR="00525943" w:rsidRDefault="00525943" w:rsidP="00525943">
            <w:pPr>
              <w:widowControl w:val="0"/>
              <w:tabs>
                <w:tab w:val="left" w:pos="5670"/>
                <w:tab w:val="right" w:pos="7796"/>
              </w:tabs>
              <w:jc w:val="center"/>
              <w:rPr>
                <w:rFonts w:ascii="Cambria" w:hAnsi="Cambria"/>
                <w:sz w:val="20"/>
              </w:rPr>
            </w:pPr>
            <w:r w:rsidRPr="00C966BB">
              <w:rPr>
                <w:rFonts w:ascii="Cambria" w:hAnsi="Cambria"/>
                <w:sz w:val="20"/>
              </w:rPr>
              <w:t xml:space="preserve">‘’ </w:t>
            </w:r>
            <w:r>
              <w:rPr>
                <w:rFonts w:ascii="Cambria" w:hAnsi="Cambria"/>
                <w:sz w:val="20"/>
                <w:lang w:val="en-US"/>
              </w:rPr>
              <w:t>e</w:t>
            </w:r>
            <w:r w:rsidRPr="00B5053F">
              <w:rPr>
                <w:rFonts w:ascii="Cambria" w:hAnsi="Cambria"/>
                <w:sz w:val="20"/>
              </w:rPr>
              <w:t>-</w:t>
            </w:r>
            <w:r>
              <w:rPr>
                <w:rFonts w:ascii="Cambria" w:hAnsi="Cambria"/>
                <w:sz w:val="20"/>
              </w:rPr>
              <w:t xml:space="preserve">Μέντωρ </w:t>
            </w:r>
            <w:r>
              <w:rPr>
                <w:rFonts w:ascii="Cambria" w:hAnsi="Cambria"/>
                <w:sz w:val="20"/>
                <w:lang w:val="en-US"/>
              </w:rPr>
              <w:t>Solutions</w:t>
            </w:r>
            <w:r w:rsidRPr="00B5053F">
              <w:rPr>
                <w:rFonts w:ascii="Cambria" w:hAnsi="Cambria"/>
                <w:sz w:val="20"/>
              </w:rPr>
              <w:t xml:space="preserve"> </w:t>
            </w:r>
            <w:r>
              <w:rPr>
                <w:rFonts w:ascii="Cambria" w:hAnsi="Cambria"/>
                <w:sz w:val="20"/>
                <w:lang w:val="en-US"/>
              </w:rPr>
              <w:t>IKE</w:t>
            </w:r>
            <w:r w:rsidRPr="00B5053F">
              <w:rPr>
                <w:rFonts w:ascii="Cambria" w:hAnsi="Cambria"/>
                <w:sz w:val="20"/>
              </w:rPr>
              <w:t>”</w:t>
            </w:r>
            <w:r w:rsidRPr="00C966BB">
              <w:rPr>
                <w:rFonts w:ascii="Cambria" w:hAnsi="Cambria"/>
                <w:sz w:val="20"/>
              </w:rPr>
              <w:t xml:space="preserve">   </w:t>
            </w:r>
          </w:p>
          <w:p w:rsidR="003875FE" w:rsidRPr="004E73CE" w:rsidRDefault="00525943" w:rsidP="00525943">
            <w:pPr>
              <w:widowControl w:val="0"/>
              <w:tabs>
                <w:tab w:val="left" w:pos="5670"/>
                <w:tab w:val="right" w:pos="7796"/>
              </w:tabs>
              <w:spacing w:line="360" w:lineRule="auto"/>
              <w:jc w:val="center"/>
              <w:rPr>
                <w:sz w:val="20"/>
              </w:rPr>
            </w:pPr>
            <w:r w:rsidRPr="00C966BB">
              <w:rPr>
                <w:rFonts w:ascii="Cambria" w:hAnsi="Cambria"/>
                <w:sz w:val="20"/>
              </w:rPr>
              <w:t xml:space="preserve"> 0 ΥΠΕΥΘΥΝΟΣ ΤΟΥ ΛΟΓΙΣΤΗΡΙΟΥ</w:t>
            </w:r>
          </w:p>
        </w:tc>
      </w:tr>
      <w:tr w:rsidR="003875FE" w:rsidRPr="004E73CE" w:rsidTr="0052724D">
        <w:tc>
          <w:tcPr>
            <w:tcW w:w="2812" w:type="dxa"/>
            <w:shd w:val="clear" w:color="auto" w:fill="auto"/>
          </w:tcPr>
          <w:p w:rsidR="003875FE" w:rsidRPr="004E73CE" w:rsidRDefault="003875FE" w:rsidP="008D6173">
            <w:pPr>
              <w:widowControl w:val="0"/>
              <w:tabs>
                <w:tab w:val="left" w:pos="5670"/>
                <w:tab w:val="right" w:pos="7796"/>
              </w:tabs>
              <w:spacing w:line="360" w:lineRule="auto"/>
              <w:jc w:val="center"/>
            </w:pPr>
          </w:p>
        </w:tc>
        <w:tc>
          <w:tcPr>
            <w:tcW w:w="2894" w:type="dxa"/>
            <w:shd w:val="clear" w:color="auto" w:fill="auto"/>
          </w:tcPr>
          <w:p w:rsidR="003875FE" w:rsidRPr="004E73CE" w:rsidRDefault="003875FE" w:rsidP="008D6173">
            <w:pPr>
              <w:widowControl w:val="0"/>
              <w:tabs>
                <w:tab w:val="left" w:pos="5670"/>
                <w:tab w:val="right" w:pos="7796"/>
              </w:tabs>
              <w:spacing w:line="360" w:lineRule="auto"/>
              <w:jc w:val="center"/>
            </w:pPr>
          </w:p>
        </w:tc>
        <w:tc>
          <w:tcPr>
            <w:tcW w:w="3333" w:type="dxa"/>
            <w:shd w:val="clear" w:color="auto" w:fill="auto"/>
          </w:tcPr>
          <w:p w:rsidR="003875FE" w:rsidRPr="004E73CE" w:rsidRDefault="003875FE" w:rsidP="008D6173">
            <w:pPr>
              <w:widowControl w:val="0"/>
              <w:tabs>
                <w:tab w:val="left" w:pos="5670"/>
                <w:tab w:val="right" w:pos="7796"/>
              </w:tabs>
              <w:spacing w:line="360" w:lineRule="auto"/>
              <w:jc w:val="center"/>
            </w:pPr>
          </w:p>
        </w:tc>
      </w:tr>
      <w:tr w:rsidR="003875FE" w:rsidRPr="004E73CE" w:rsidTr="0052724D">
        <w:tc>
          <w:tcPr>
            <w:tcW w:w="2812" w:type="dxa"/>
            <w:shd w:val="clear" w:color="auto" w:fill="auto"/>
          </w:tcPr>
          <w:p w:rsidR="003875FE" w:rsidRPr="004E73CE" w:rsidRDefault="003875FE" w:rsidP="008D6173">
            <w:pPr>
              <w:widowControl w:val="0"/>
              <w:tabs>
                <w:tab w:val="left" w:pos="5670"/>
                <w:tab w:val="right" w:pos="7796"/>
              </w:tabs>
              <w:spacing w:line="360" w:lineRule="auto"/>
              <w:jc w:val="center"/>
            </w:pPr>
            <w:r w:rsidRPr="004E73CE">
              <w:t xml:space="preserve">ΠΑΓΚΑΛΟΣ ΒΑΣΙΛΕΙΟΣ    </w:t>
            </w:r>
          </w:p>
        </w:tc>
        <w:tc>
          <w:tcPr>
            <w:tcW w:w="2894" w:type="dxa"/>
            <w:shd w:val="clear" w:color="auto" w:fill="auto"/>
          </w:tcPr>
          <w:p w:rsidR="003875FE" w:rsidRPr="004E73CE" w:rsidRDefault="003875FE" w:rsidP="008D6173">
            <w:pPr>
              <w:widowControl w:val="0"/>
              <w:tabs>
                <w:tab w:val="left" w:pos="5670"/>
                <w:tab w:val="right" w:pos="7796"/>
              </w:tabs>
              <w:spacing w:line="360" w:lineRule="auto"/>
              <w:jc w:val="center"/>
            </w:pPr>
            <w:r w:rsidRPr="004E73CE">
              <w:t xml:space="preserve">ΠΑΝΟΠΟΥΛΟΣ ΚΩΝ/ΝΟΣ          </w:t>
            </w:r>
          </w:p>
        </w:tc>
        <w:tc>
          <w:tcPr>
            <w:tcW w:w="3333" w:type="dxa"/>
            <w:shd w:val="clear" w:color="auto" w:fill="auto"/>
          </w:tcPr>
          <w:p w:rsidR="003875FE" w:rsidRPr="004E73CE" w:rsidRDefault="00464FC9" w:rsidP="008D6173">
            <w:pPr>
              <w:widowControl w:val="0"/>
              <w:tabs>
                <w:tab w:val="left" w:pos="5670"/>
                <w:tab w:val="right" w:pos="7796"/>
              </w:tabs>
              <w:spacing w:line="360" w:lineRule="auto"/>
              <w:jc w:val="center"/>
            </w:pPr>
            <w:r w:rsidRPr="00464FC9">
              <w:t>ΣΙΑΠΑΤΗΣ ΕΛΕΥΘΕΡΙΟΣ</w:t>
            </w:r>
          </w:p>
        </w:tc>
      </w:tr>
    </w:tbl>
    <w:p w:rsidR="003875FE" w:rsidRPr="004E73CE" w:rsidRDefault="003875FE" w:rsidP="003875FE">
      <w:pPr>
        <w:spacing w:line="360" w:lineRule="auto"/>
        <w:jc w:val="center"/>
      </w:pPr>
    </w:p>
    <w:p w:rsidR="004E73CE" w:rsidRPr="008B1E4B" w:rsidRDefault="004E73CE" w:rsidP="004E73CE">
      <w:pPr>
        <w:jc w:val="both"/>
        <w:rPr>
          <w:rFonts w:ascii="Arial" w:eastAsia="Calibri" w:hAnsi="Arial"/>
          <w:sz w:val="20"/>
          <w:szCs w:val="22"/>
          <w:lang w:eastAsia="en-US"/>
        </w:rPr>
      </w:pPr>
    </w:p>
    <w:p w:rsidR="00B90C37" w:rsidRPr="001A08E5" w:rsidRDefault="00B90C37" w:rsidP="00B90C37">
      <w:pPr>
        <w:spacing w:line="360" w:lineRule="auto"/>
        <w:jc w:val="both"/>
      </w:pPr>
      <w:r w:rsidRPr="001A08E5">
        <w:t xml:space="preserve">Βεβαιώνεται ότι η παρούσα έκθεση που αποτελείται από </w:t>
      </w:r>
      <w:r>
        <w:t>έξι (</w:t>
      </w:r>
      <w:r w:rsidRPr="003875FE">
        <w:t>6</w:t>
      </w:r>
      <w:r>
        <w:t xml:space="preserve">) </w:t>
      </w:r>
      <w:r w:rsidRPr="001A08E5">
        <w:t xml:space="preserve">σελίδες είναι αυτή που αναφέρεται στην έκθεση ελέγχου με </w:t>
      </w:r>
      <w:r w:rsidRPr="002B29FB">
        <w:t xml:space="preserve">ημερομηνία </w:t>
      </w:r>
      <w:r w:rsidRPr="009D50FC">
        <w:t>0</w:t>
      </w:r>
      <w:r w:rsidRPr="00B90C37">
        <w:t>1</w:t>
      </w:r>
      <w:r w:rsidRPr="002B29FB">
        <w:t xml:space="preserve"> </w:t>
      </w:r>
      <w:r>
        <w:t>Αυγούστ</w:t>
      </w:r>
      <w:r w:rsidRPr="002B29FB">
        <w:t>ου 201</w:t>
      </w:r>
      <w:r>
        <w:t>9</w:t>
      </w:r>
      <w:r w:rsidRPr="002B29FB">
        <w:t xml:space="preserve"> και</w:t>
      </w:r>
      <w:r w:rsidRPr="001A08E5">
        <w:t xml:space="preserve"> αναφέρεται στις οικονομικές καταστάσεις της 31/12/1</w:t>
      </w:r>
      <w:r>
        <w:t>8</w:t>
      </w:r>
      <w:r w:rsidRPr="001A08E5">
        <w:t xml:space="preserve"> της «ΔΗΜΟΤΙΚΗΣ ΕΠΙΧΕΙΡΗΣΗΣ ΑΝΑΠΤΥΞΗΣ ΔΗΜΟΥ ΒΥΡΩΝΑ Α.Ε. ΟΤΑ»</w:t>
      </w:r>
    </w:p>
    <w:p w:rsidR="00B90C37" w:rsidRPr="001A08E5" w:rsidRDefault="00B90C37" w:rsidP="00B90C37">
      <w:pPr>
        <w:widowControl w:val="0"/>
        <w:tabs>
          <w:tab w:val="left" w:pos="5670"/>
          <w:tab w:val="right" w:pos="7796"/>
        </w:tabs>
        <w:spacing w:before="86" w:line="360" w:lineRule="auto"/>
        <w:jc w:val="center"/>
        <w:rPr>
          <w:bCs/>
        </w:rPr>
      </w:pPr>
      <w:r w:rsidRPr="00E379C5">
        <w:rPr>
          <w:bCs/>
        </w:rPr>
        <w:t>Αθήνα</w:t>
      </w:r>
      <w:r w:rsidRPr="002B29FB">
        <w:rPr>
          <w:bCs/>
        </w:rPr>
        <w:t xml:space="preserve">, </w:t>
      </w:r>
      <w:r w:rsidRPr="00B90C37">
        <w:rPr>
          <w:bCs/>
        </w:rPr>
        <w:t>0</w:t>
      </w:r>
      <w:r>
        <w:rPr>
          <w:bCs/>
        </w:rPr>
        <w:t>1</w:t>
      </w:r>
      <w:r w:rsidRPr="00B90C37">
        <w:rPr>
          <w:bCs/>
        </w:rPr>
        <w:t>.0</w:t>
      </w:r>
      <w:r>
        <w:rPr>
          <w:bCs/>
        </w:rPr>
        <w:t>8</w:t>
      </w:r>
      <w:r w:rsidRPr="002B29FB">
        <w:rPr>
          <w:bCs/>
        </w:rPr>
        <w:t>.201</w:t>
      </w:r>
      <w:r>
        <w:rPr>
          <w:bCs/>
        </w:rPr>
        <w:t>9</w:t>
      </w:r>
    </w:p>
    <w:p w:rsidR="00B90C37" w:rsidRPr="001A08E5" w:rsidRDefault="00B90C37" w:rsidP="00B90C37">
      <w:pPr>
        <w:widowControl w:val="0"/>
        <w:tabs>
          <w:tab w:val="left" w:pos="5670"/>
          <w:tab w:val="right" w:pos="7796"/>
        </w:tabs>
        <w:spacing w:before="86" w:line="360" w:lineRule="auto"/>
        <w:jc w:val="center"/>
        <w:rPr>
          <w:bCs/>
        </w:rPr>
      </w:pPr>
      <w:r>
        <w:rPr>
          <w:rFonts w:ascii="Calibri" w:hAnsi="Calibri"/>
          <w:noProof/>
          <w:sz w:val="22"/>
          <w:szCs w:val="22"/>
        </w:rPr>
        <w:drawing>
          <wp:anchor distT="0" distB="0" distL="114300" distR="114300" simplePos="0" relativeHeight="251658240" behindDoc="1" locked="0" layoutInCell="1" allowOverlap="1" wp14:anchorId="5AF2C59E" wp14:editId="2E9432FD">
            <wp:simplePos x="0" y="0"/>
            <wp:positionH relativeFrom="column">
              <wp:posOffset>1906</wp:posOffset>
            </wp:positionH>
            <wp:positionV relativeFrom="paragraph">
              <wp:posOffset>313055</wp:posOffset>
            </wp:positionV>
            <wp:extent cx="1188720" cy="262647"/>
            <wp:effectExtent l="0" t="0" r="0" b="0"/>
            <wp:wrapNone/>
            <wp:docPr id="4" name="Εικόνα 4" descr="SOL_CROWE_LOGO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SOL_CROWE_LOGO_FINAL"/>
                    <pic:cNvPicPr>
                      <a:picLocks noChangeAspect="1" noChangeArrowheads="1"/>
                    </pic:cNvPicPr>
                  </pic:nvPicPr>
                  <pic:blipFill>
                    <a:blip r:embed="rId8" cstate="print">
                      <a:extLst>
                        <a:ext uri="{28A0092B-C50C-407E-A947-70E740481C1C}">
                          <a14:useLocalDpi xmlns:a14="http://schemas.microsoft.com/office/drawing/2010/main" val="0"/>
                        </a:ext>
                      </a:extLst>
                    </a:blip>
                    <a:srcRect l="2344"/>
                    <a:stretch>
                      <a:fillRect/>
                    </a:stretch>
                  </pic:blipFill>
                  <pic:spPr bwMode="auto">
                    <a:xfrm>
                      <a:off x="0" y="0"/>
                      <a:ext cx="1279918" cy="282797"/>
                    </a:xfrm>
                    <a:prstGeom prst="rect">
                      <a:avLst/>
                    </a:prstGeom>
                    <a:noFill/>
                    <a:ln>
                      <a:noFill/>
                    </a:ln>
                  </pic:spPr>
                </pic:pic>
              </a:graphicData>
            </a:graphic>
            <wp14:sizeRelH relativeFrom="page">
              <wp14:pctWidth>0</wp14:pctWidth>
            </wp14:sizeRelH>
            <wp14:sizeRelV relativeFrom="page">
              <wp14:pctHeight>0</wp14:pctHeight>
            </wp14:sizeRelV>
          </wp:anchor>
        </w:drawing>
      </w:r>
      <w:r>
        <w:rPr>
          <w:bCs/>
        </w:rPr>
        <w:t>Ο</w:t>
      </w:r>
      <w:r w:rsidRPr="00E379C5">
        <w:rPr>
          <w:bCs/>
        </w:rPr>
        <w:t xml:space="preserve">  ΟΡΚΩΤΟΣ ΕΛΕΓΚΤΗΣ ΛΟΓΙΣΤΗΣ</w:t>
      </w:r>
    </w:p>
    <w:p w:rsidR="00B90C37" w:rsidRPr="001A08E5" w:rsidRDefault="00B90C37" w:rsidP="00B90C37">
      <w:pPr>
        <w:widowControl w:val="0"/>
        <w:tabs>
          <w:tab w:val="left" w:pos="5670"/>
          <w:tab w:val="right" w:pos="7796"/>
        </w:tabs>
        <w:spacing w:before="86" w:line="360" w:lineRule="auto"/>
        <w:jc w:val="center"/>
        <w:rPr>
          <w:bCs/>
        </w:rPr>
      </w:pPr>
    </w:p>
    <w:p w:rsidR="00B90C37" w:rsidRPr="001A08E5" w:rsidRDefault="00B90C37" w:rsidP="00B90C37">
      <w:pPr>
        <w:pStyle w:val="2"/>
        <w:widowControl w:val="0"/>
        <w:tabs>
          <w:tab w:val="left" w:pos="5670"/>
          <w:tab w:val="right" w:pos="7796"/>
        </w:tabs>
        <w:jc w:val="center"/>
        <w:rPr>
          <w:bCs/>
          <w:sz w:val="22"/>
          <w:szCs w:val="22"/>
        </w:rPr>
      </w:pPr>
      <w:r>
        <w:rPr>
          <w:bCs/>
          <w:sz w:val="22"/>
          <w:szCs w:val="22"/>
        </w:rPr>
        <w:t>ΔΗΜΗΤΡΗΣ Χ. ΣΚΟΝΔΡΟΓΙΑΝΝΗΣ</w:t>
      </w:r>
    </w:p>
    <w:p w:rsidR="00B90C37" w:rsidRPr="001A08E5" w:rsidRDefault="00B90C37" w:rsidP="00B90C37">
      <w:pPr>
        <w:pStyle w:val="2"/>
        <w:widowControl w:val="0"/>
        <w:tabs>
          <w:tab w:val="left" w:pos="5670"/>
          <w:tab w:val="right" w:pos="7796"/>
        </w:tabs>
        <w:jc w:val="center"/>
        <w:rPr>
          <w:bCs/>
          <w:sz w:val="22"/>
          <w:szCs w:val="22"/>
        </w:rPr>
      </w:pPr>
      <w:r w:rsidRPr="001A08E5">
        <w:rPr>
          <w:bCs/>
          <w:sz w:val="22"/>
          <w:szCs w:val="22"/>
        </w:rPr>
        <w:t>Α.Μ.  Σ.Ο.Ε.Λ. 1</w:t>
      </w:r>
      <w:r>
        <w:rPr>
          <w:bCs/>
          <w:sz w:val="22"/>
          <w:szCs w:val="22"/>
        </w:rPr>
        <w:t>46</w:t>
      </w:r>
      <w:r w:rsidRPr="001A08E5">
        <w:rPr>
          <w:bCs/>
          <w:sz w:val="22"/>
          <w:szCs w:val="22"/>
        </w:rPr>
        <w:t>71</w:t>
      </w:r>
    </w:p>
    <w:p w:rsidR="00B90C37" w:rsidRPr="001730B4" w:rsidRDefault="00B90C37" w:rsidP="00B90C37">
      <w:pPr>
        <w:pStyle w:val="2"/>
        <w:widowControl w:val="0"/>
        <w:tabs>
          <w:tab w:val="left" w:pos="5670"/>
          <w:tab w:val="right" w:pos="7796"/>
        </w:tabs>
        <w:jc w:val="center"/>
        <w:rPr>
          <w:bCs/>
          <w:sz w:val="22"/>
          <w:szCs w:val="22"/>
        </w:rPr>
      </w:pPr>
      <w:bookmarkStart w:id="0" w:name="_GoBack"/>
      <w:bookmarkEnd w:id="0"/>
      <w:r w:rsidRPr="001A08E5">
        <w:rPr>
          <w:bCs/>
          <w:sz w:val="22"/>
          <w:szCs w:val="22"/>
        </w:rPr>
        <w:t>Σ.Ο.Λ.  α.ε.ο.ε</w:t>
      </w:r>
    </w:p>
    <w:sectPr w:rsidR="00B90C37" w:rsidRPr="001730B4" w:rsidSect="00735B8F">
      <w:footerReference w:type="even" r:id="rId9"/>
      <w:footerReference w:type="default" r:id="rId10"/>
      <w:pgSz w:w="11906" w:h="16838"/>
      <w:pgMar w:top="1440" w:right="1701"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6DA" w:rsidRDefault="009C06DA">
      <w:r>
        <w:separator/>
      </w:r>
    </w:p>
  </w:endnote>
  <w:endnote w:type="continuationSeparator" w:id="0">
    <w:p w:rsidR="009C06DA" w:rsidRDefault="009C0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B8F" w:rsidRDefault="001C5300" w:rsidP="00735B8F">
    <w:pPr>
      <w:pStyle w:val="a3"/>
      <w:framePr w:wrap="around" w:vAnchor="text" w:hAnchor="margin" w:xAlign="right" w:y="1"/>
      <w:rPr>
        <w:rStyle w:val="a4"/>
      </w:rPr>
    </w:pPr>
    <w:r>
      <w:rPr>
        <w:rStyle w:val="a4"/>
      </w:rPr>
      <w:fldChar w:fldCharType="begin"/>
    </w:r>
    <w:r w:rsidR="00735B8F">
      <w:rPr>
        <w:rStyle w:val="a4"/>
      </w:rPr>
      <w:instrText xml:space="preserve">PAGE  </w:instrText>
    </w:r>
    <w:r>
      <w:rPr>
        <w:rStyle w:val="a4"/>
      </w:rPr>
      <w:fldChar w:fldCharType="end"/>
    </w:r>
  </w:p>
  <w:p w:rsidR="00735B8F" w:rsidRDefault="00735B8F" w:rsidP="00735B8F">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B8F" w:rsidRDefault="001C5300" w:rsidP="00735B8F">
    <w:pPr>
      <w:pStyle w:val="a3"/>
      <w:framePr w:wrap="around" w:vAnchor="text" w:hAnchor="margin" w:xAlign="right" w:y="1"/>
      <w:rPr>
        <w:rStyle w:val="a4"/>
      </w:rPr>
    </w:pPr>
    <w:r>
      <w:rPr>
        <w:rStyle w:val="a4"/>
      </w:rPr>
      <w:fldChar w:fldCharType="begin"/>
    </w:r>
    <w:r w:rsidR="00735B8F">
      <w:rPr>
        <w:rStyle w:val="a4"/>
      </w:rPr>
      <w:instrText xml:space="preserve">PAGE  </w:instrText>
    </w:r>
    <w:r>
      <w:rPr>
        <w:rStyle w:val="a4"/>
      </w:rPr>
      <w:fldChar w:fldCharType="separate"/>
    </w:r>
    <w:r w:rsidR="000B5C3F">
      <w:rPr>
        <w:rStyle w:val="a4"/>
        <w:noProof/>
      </w:rPr>
      <w:t>6</w:t>
    </w:r>
    <w:r>
      <w:rPr>
        <w:rStyle w:val="a4"/>
      </w:rPr>
      <w:fldChar w:fldCharType="end"/>
    </w:r>
  </w:p>
  <w:p w:rsidR="00735B8F" w:rsidRDefault="00735B8F" w:rsidP="00735B8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6DA" w:rsidRDefault="009C06DA">
      <w:r>
        <w:separator/>
      </w:r>
    </w:p>
  </w:footnote>
  <w:footnote w:type="continuationSeparator" w:id="0">
    <w:p w:rsidR="009C06DA" w:rsidRDefault="009C06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360"/>
      </w:pPr>
      <w:rPr>
        <w:rFonts w:eastAsia="Times New Roman"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2520" w:hanging="1080"/>
      </w:pPr>
      <w:rPr>
        <w:rFonts w:cs="Times New Roman"/>
      </w:rPr>
    </w:lvl>
    <w:lvl w:ilvl="4">
      <w:start w:val="1"/>
      <w:numFmt w:val="decimal"/>
      <w:lvlText w:val="%1.%2.%3.%4.%5"/>
      <w:lvlJc w:val="left"/>
      <w:pPr>
        <w:tabs>
          <w:tab w:val="num" w:pos="0"/>
        </w:tabs>
        <w:ind w:left="3600" w:hanging="1080"/>
      </w:pPr>
      <w:rPr>
        <w:rFonts w:cs="Times New Roman"/>
      </w:rPr>
    </w:lvl>
    <w:lvl w:ilvl="5">
      <w:start w:val="1"/>
      <w:numFmt w:val="decimal"/>
      <w:lvlText w:val="%1.%2.%3.%4.%5.%6"/>
      <w:lvlJc w:val="left"/>
      <w:pPr>
        <w:tabs>
          <w:tab w:val="num" w:pos="0"/>
        </w:tabs>
        <w:ind w:left="5040" w:hanging="1440"/>
      </w:pPr>
      <w:rPr>
        <w:rFonts w:cs="Times New Roman"/>
      </w:rPr>
    </w:lvl>
    <w:lvl w:ilvl="6">
      <w:start w:val="1"/>
      <w:numFmt w:val="decimal"/>
      <w:lvlText w:val="%1.%2.%3.%4.%5.%6.%7"/>
      <w:lvlJc w:val="left"/>
      <w:pPr>
        <w:tabs>
          <w:tab w:val="num" w:pos="0"/>
        </w:tabs>
        <w:ind w:left="6480" w:hanging="1440"/>
      </w:pPr>
      <w:rPr>
        <w:rFonts w:cs="Times New Roman"/>
      </w:rPr>
    </w:lvl>
    <w:lvl w:ilvl="7">
      <w:start w:val="1"/>
      <w:numFmt w:val="decimal"/>
      <w:lvlText w:val="%1.%2.%3.%4.%5.%6.%7.%8"/>
      <w:lvlJc w:val="left"/>
      <w:pPr>
        <w:tabs>
          <w:tab w:val="num" w:pos="0"/>
        </w:tabs>
        <w:ind w:left="8280" w:hanging="1800"/>
      </w:pPr>
      <w:rPr>
        <w:rFonts w:cs="Times New Roman"/>
      </w:rPr>
    </w:lvl>
    <w:lvl w:ilvl="8">
      <w:start w:val="1"/>
      <w:numFmt w:val="decimal"/>
      <w:lvlText w:val="%1.%2.%3.%4.%5.%6.%7.%8.%9"/>
      <w:lvlJc w:val="left"/>
      <w:pPr>
        <w:tabs>
          <w:tab w:val="num" w:pos="0"/>
        </w:tabs>
        <w:ind w:left="10080" w:hanging="1800"/>
      </w:pPr>
      <w:rPr>
        <w:rFonts w:cs="Times New Roman"/>
      </w:rPr>
    </w:lvl>
  </w:abstractNum>
  <w:abstractNum w:abstractNumId="1" w15:restartNumberingAfterBreak="0">
    <w:nsid w:val="00000003"/>
    <w:multiLevelType w:val="multilevel"/>
    <w:tmpl w:val="38AEFA40"/>
    <w:name w:val="WWNum6"/>
    <w:lvl w:ilvl="0">
      <w:start w:val="1"/>
      <w:numFmt w:val="decimal"/>
      <w:lvlText w:val="%1"/>
      <w:lvlJc w:val="left"/>
      <w:pPr>
        <w:tabs>
          <w:tab w:val="num" w:pos="360"/>
        </w:tabs>
        <w:ind w:left="360" w:hanging="360"/>
      </w:pPr>
      <w:rPr>
        <w:rFonts w:cs="Times New Roman"/>
      </w:rPr>
    </w:lvl>
    <w:lvl w:ilvl="1">
      <w:start w:val="4"/>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42E099A"/>
    <w:multiLevelType w:val="hybridMultilevel"/>
    <w:tmpl w:val="608C70E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15:restartNumberingAfterBreak="0">
    <w:nsid w:val="2B0F2006"/>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B5D66B1"/>
    <w:multiLevelType w:val="hybridMultilevel"/>
    <w:tmpl w:val="F3E89CF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35B8F"/>
    <w:rsid w:val="0000198D"/>
    <w:rsid w:val="000052CA"/>
    <w:rsid w:val="00032EFC"/>
    <w:rsid w:val="00033498"/>
    <w:rsid w:val="00037E2C"/>
    <w:rsid w:val="000A231F"/>
    <w:rsid w:val="000B129F"/>
    <w:rsid w:val="000B33A7"/>
    <w:rsid w:val="000B50C9"/>
    <w:rsid w:val="000B5C3F"/>
    <w:rsid w:val="000C2945"/>
    <w:rsid w:val="00126979"/>
    <w:rsid w:val="001464E0"/>
    <w:rsid w:val="00164F88"/>
    <w:rsid w:val="00165B0F"/>
    <w:rsid w:val="00177D3B"/>
    <w:rsid w:val="001A6916"/>
    <w:rsid w:val="001C5300"/>
    <w:rsid w:val="001F3978"/>
    <w:rsid w:val="0020071A"/>
    <w:rsid w:val="0022003F"/>
    <w:rsid w:val="002221E4"/>
    <w:rsid w:val="00254217"/>
    <w:rsid w:val="0026448E"/>
    <w:rsid w:val="00265A73"/>
    <w:rsid w:val="00286763"/>
    <w:rsid w:val="002B2846"/>
    <w:rsid w:val="002B29FB"/>
    <w:rsid w:val="002C38B7"/>
    <w:rsid w:val="00331F76"/>
    <w:rsid w:val="00360884"/>
    <w:rsid w:val="00366B32"/>
    <w:rsid w:val="003875FE"/>
    <w:rsid w:val="0039776C"/>
    <w:rsid w:val="003A15BC"/>
    <w:rsid w:val="003A5E90"/>
    <w:rsid w:val="003B7C82"/>
    <w:rsid w:val="003C19D9"/>
    <w:rsid w:val="003D4AB7"/>
    <w:rsid w:val="003F3DE2"/>
    <w:rsid w:val="0041278E"/>
    <w:rsid w:val="00425519"/>
    <w:rsid w:val="00435675"/>
    <w:rsid w:val="0045449C"/>
    <w:rsid w:val="00460420"/>
    <w:rsid w:val="00462C9A"/>
    <w:rsid w:val="00464FC9"/>
    <w:rsid w:val="00481F77"/>
    <w:rsid w:val="004A3EDD"/>
    <w:rsid w:val="004D007E"/>
    <w:rsid w:val="004E226F"/>
    <w:rsid w:val="004E73CE"/>
    <w:rsid w:val="0050754D"/>
    <w:rsid w:val="0050767A"/>
    <w:rsid w:val="00525943"/>
    <w:rsid w:val="0052724D"/>
    <w:rsid w:val="00536AB2"/>
    <w:rsid w:val="00561C50"/>
    <w:rsid w:val="005A17BD"/>
    <w:rsid w:val="005C043D"/>
    <w:rsid w:val="005C6A4F"/>
    <w:rsid w:val="005D418C"/>
    <w:rsid w:val="005F2130"/>
    <w:rsid w:val="00605D8D"/>
    <w:rsid w:val="006229B5"/>
    <w:rsid w:val="00645B4F"/>
    <w:rsid w:val="00675679"/>
    <w:rsid w:val="0069369C"/>
    <w:rsid w:val="006F05F3"/>
    <w:rsid w:val="006F246F"/>
    <w:rsid w:val="0070058E"/>
    <w:rsid w:val="00702C6F"/>
    <w:rsid w:val="007079BF"/>
    <w:rsid w:val="00735B8F"/>
    <w:rsid w:val="00781062"/>
    <w:rsid w:val="007859EC"/>
    <w:rsid w:val="007B4958"/>
    <w:rsid w:val="007B6F5D"/>
    <w:rsid w:val="007C51A2"/>
    <w:rsid w:val="007D218D"/>
    <w:rsid w:val="007D7F8E"/>
    <w:rsid w:val="007E484A"/>
    <w:rsid w:val="00811207"/>
    <w:rsid w:val="00837B43"/>
    <w:rsid w:val="008453E8"/>
    <w:rsid w:val="008653DF"/>
    <w:rsid w:val="00873755"/>
    <w:rsid w:val="008D6173"/>
    <w:rsid w:val="008E560D"/>
    <w:rsid w:val="00902E6D"/>
    <w:rsid w:val="0096126B"/>
    <w:rsid w:val="0097519A"/>
    <w:rsid w:val="009912FB"/>
    <w:rsid w:val="009C06DA"/>
    <w:rsid w:val="009D1CF1"/>
    <w:rsid w:val="009D2CD3"/>
    <w:rsid w:val="009D50FC"/>
    <w:rsid w:val="009E310B"/>
    <w:rsid w:val="009F1CE1"/>
    <w:rsid w:val="00A07745"/>
    <w:rsid w:val="00A3116A"/>
    <w:rsid w:val="00A33B3D"/>
    <w:rsid w:val="00A56099"/>
    <w:rsid w:val="00A57173"/>
    <w:rsid w:val="00AA3BCF"/>
    <w:rsid w:val="00AA76CF"/>
    <w:rsid w:val="00AB00D4"/>
    <w:rsid w:val="00AE6654"/>
    <w:rsid w:val="00AF472F"/>
    <w:rsid w:val="00B136D7"/>
    <w:rsid w:val="00B1483B"/>
    <w:rsid w:val="00B220EA"/>
    <w:rsid w:val="00B44EAA"/>
    <w:rsid w:val="00B67442"/>
    <w:rsid w:val="00B90C37"/>
    <w:rsid w:val="00BA1879"/>
    <w:rsid w:val="00C06434"/>
    <w:rsid w:val="00C07590"/>
    <w:rsid w:val="00C1147F"/>
    <w:rsid w:val="00C11CA8"/>
    <w:rsid w:val="00C15541"/>
    <w:rsid w:val="00C21071"/>
    <w:rsid w:val="00C26580"/>
    <w:rsid w:val="00C50156"/>
    <w:rsid w:val="00C642E4"/>
    <w:rsid w:val="00C7459D"/>
    <w:rsid w:val="00C85957"/>
    <w:rsid w:val="00C93AE5"/>
    <w:rsid w:val="00C94384"/>
    <w:rsid w:val="00C9628A"/>
    <w:rsid w:val="00CA1D8D"/>
    <w:rsid w:val="00CF4F75"/>
    <w:rsid w:val="00D5415B"/>
    <w:rsid w:val="00D91DEB"/>
    <w:rsid w:val="00D979B5"/>
    <w:rsid w:val="00DE1D83"/>
    <w:rsid w:val="00DF7791"/>
    <w:rsid w:val="00E51CFA"/>
    <w:rsid w:val="00E54CCA"/>
    <w:rsid w:val="00E55E23"/>
    <w:rsid w:val="00E57476"/>
    <w:rsid w:val="00E65708"/>
    <w:rsid w:val="00E761C8"/>
    <w:rsid w:val="00EB1560"/>
    <w:rsid w:val="00EC0854"/>
    <w:rsid w:val="00F04907"/>
    <w:rsid w:val="00F04A0C"/>
    <w:rsid w:val="00F05B3C"/>
    <w:rsid w:val="00F10FB4"/>
    <w:rsid w:val="00F15964"/>
    <w:rsid w:val="00F36690"/>
    <w:rsid w:val="00F424C2"/>
    <w:rsid w:val="00F74B3D"/>
    <w:rsid w:val="00F9099C"/>
    <w:rsid w:val="00FC372D"/>
    <w:rsid w:val="00FE4F6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0C169B8-9251-4450-A031-D6ED79C99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5B8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35B8F"/>
    <w:pPr>
      <w:tabs>
        <w:tab w:val="center" w:pos="4153"/>
        <w:tab w:val="right" w:pos="8306"/>
      </w:tabs>
    </w:pPr>
  </w:style>
  <w:style w:type="character" w:styleId="a4">
    <w:name w:val="page number"/>
    <w:basedOn w:val="a0"/>
    <w:rsid w:val="00735B8F"/>
  </w:style>
  <w:style w:type="paragraph" w:styleId="a5">
    <w:name w:val="Balloon Text"/>
    <w:basedOn w:val="a"/>
    <w:link w:val="Char"/>
    <w:rsid w:val="0050754D"/>
    <w:rPr>
      <w:rFonts w:ascii="Segoe UI" w:hAnsi="Segoe UI"/>
      <w:sz w:val="18"/>
      <w:szCs w:val="18"/>
    </w:rPr>
  </w:style>
  <w:style w:type="character" w:customStyle="1" w:styleId="Char">
    <w:name w:val="Κείμενο πλαισίου Char"/>
    <w:link w:val="a5"/>
    <w:rsid w:val="0050754D"/>
    <w:rPr>
      <w:rFonts w:ascii="Segoe UI" w:hAnsi="Segoe UI" w:cs="Segoe UI"/>
      <w:sz w:val="18"/>
      <w:szCs w:val="18"/>
    </w:rPr>
  </w:style>
  <w:style w:type="paragraph" w:styleId="a6">
    <w:name w:val="List Paragraph"/>
    <w:basedOn w:val="a"/>
    <w:uiPriority w:val="34"/>
    <w:qFormat/>
    <w:rsid w:val="001A6916"/>
    <w:pPr>
      <w:spacing w:after="200" w:line="276" w:lineRule="auto"/>
      <w:ind w:left="720"/>
      <w:contextualSpacing/>
    </w:pPr>
    <w:rPr>
      <w:rFonts w:ascii="Calibri" w:eastAsia="Calibri" w:hAnsi="Calibri"/>
      <w:sz w:val="22"/>
      <w:szCs w:val="22"/>
      <w:lang w:val="en-US" w:eastAsia="en-US"/>
    </w:rPr>
  </w:style>
  <w:style w:type="paragraph" w:styleId="2">
    <w:name w:val="Body Text 2"/>
    <w:basedOn w:val="a"/>
    <w:link w:val="2Char"/>
    <w:rsid w:val="003875FE"/>
    <w:pPr>
      <w:spacing w:before="86" w:line="360" w:lineRule="auto"/>
      <w:jc w:val="both"/>
    </w:pPr>
    <w:rPr>
      <w:szCs w:val="20"/>
    </w:rPr>
  </w:style>
  <w:style w:type="character" w:customStyle="1" w:styleId="2Char">
    <w:name w:val="Σώμα κείμενου 2 Char"/>
    <w:link w:val="2"/>
    <w:rsid w:val="003875FE"/>
    <w:rPr>
      <w:sz w:val="24"/>
    </w:rPr>
  </w:style>
  <w:style w:type="paragraph" w:customStyle="1" w:styleId="yiv8246929700msonormal">
    <w:name w:val="yiv8246929700msonormal"/>
    <w:basedOn w:val="a"/>
    <w:rsid w:val="0052724D"/>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83229">
      <w:bodyDiv w:val="1"/>
      <w:marLeft w:val="0"/>
      <w:marRight w:val="0"/>
      <w:marTop w:val="0"/>
      <w:marBottom w:val="0"/>
      <w:divBdr>
        <w:top w:val="none" w:sz="0" w:space="0" w:color="auto"/>
        <w:left w:val="none" w:sz="0" w:space="0" w:color="auto"/>
        <w:bottom w:val="none" w:sz="0" w:space="0" w:color="auto"/>
        <w:right w:val="none" w:sz="0" w:space="0" w:color="auto"/>
      </w:divBdr>
    </w:div>
    <w:div w:id="146214168">
      <w:bodyDiv w:val="1"/>
      <w:marLeft w:val="0"/>
      <w:marRight w:val="0"/>
      <w:marTop w:val="0"/>
      <w:marBottom w:val="0"/>
      <w:divBdr>
        <w:top w:val="none" w:sz="0" w:space="0" w:color="auto"/>
        <w:left w:val="none" w:sz="0" w:space="0" w:color="auto"/>
        <w:bottom w:val="none" w:sz="0" w:space="0" w:color="auto"/>
        <w:right w:val="none" w:sz="0" w:space="0" w:color="auto"/>
      </w:divBdr>
    </w:div>
    <w:div w:id="149297317">
      <w:bodyDiv w:val="1"/>
      <w:marLeft w:val="0"/>
      <w:marRight w:val="0"/>
      <w:marTop w:val="0"/>
      <w:marBottom w:val="0"/>
      <w:divBdr>
        <w:top w:val="none" w:sz="0" w:space="0" w:color="auto"/>
        <w:left w:val="none" w:sz="0" w:space="0" w:color="auto"/>
        <w:bottom w:val="none" w:sz="0" w:space="0" w:color="auto"/>
        <w:right w:val="none" w:sz="0" w:space="0" w:color="auto"/>
      </w:divBdr>
    </w:div>
    <w:div w:id="218902925">
      <w:bodyDiv w:val="1"/>
      <w:marLeft w:val="0"/>
      <w:marRight w:val="0"/>
      <w:marTop w:val="0"/>
      <w:marBottom w:val="0"/>
      <w:divBdr>
        <w:top w:val="none" w:sz="0" w:space="0" w:color="auto"/>
        <w:left w:val="none" w:sz="0" w:space="0" w:color="auto"/>
        <w:bottom w:val="none" w:sz="0" w:space="0" w:color="auto"/>
        <w:right w:val="none" w:sz="0" w:space="0" w:color="auto"/>
      </w:divBdr>
    </w:div>
    <w:div w:id="370767164">
      <w:bodyDiv w:val="1"/>
      <w:marLeft w:val="0"/>
      <w:marRight w:val="0"/>
      <w:marTop w:val="0"/>
      <w:marBottom w:val="0"/>
      <w:divBdr>
        <w:top w:val="none" w:sz="0" w:space="0" w:color="auto"/>
        <w:left w:val="none" w:sz="0" w:space="0" w:color="auto"/>
        <w:bottom w:val="none" w:sz="0" w:space="0" w:color="auto"/>
        <w:right w:val="none" w:sz="0" w:space="0" w:color="auto"/>
      </w:divBdr>
    </w:div>
    <w:div w:id="422577937">
      <w:bodyDiv w:val="1"/>
      <w:marLeft w:val="0"/>
      <w:marRight w:val="0"/>
      <w:marTop w:val="0"/>
      <w:marBottom w:val="0"/>
      <w:divBdr>
        <w:top w:val="none" w:sz="0" w:space="0" w:color="auto"/>
        <w:left w:val="none" w:sz="0" w:space="0" w:color="auto"/>
        <w:bottom w:val="none" w:sz="0" w:space="0" w:color="auto"/>
        <w:right w:val="none" w:sz="0" w:space="0" w:color="auto"/>
      </w:divBdr>
    </w:div>
    <w:div w:id="577404513">
      <w:bodyDiv w:val="1"/>
      <w:marLeft w:val="0"/>
      <w:marRight w:val="0"/>
      <w:marTop w:val="0"/>
      <w:marBottom w:val="0"/>
      <w:divBdr>
        <w:top w:val="none" w:sz="0" w:space="0" w:color="auto"/>
        <w:left w:val="none" w:sz="0" w:space="0" w:color="auto"/>
        <w:bottom w:val="none" w:sz="0" w:space="0" w:color="auto"/>
        <w:right w:val="none" w:sz="0" w:space="0" w:color="auto"/>
      </w:divBdr>
    </w:div>
    <w:div w:id="630786187">
      <w:bodyDiv w:val="1"/>
      <w:marLeft w:val="0"/>
      <w:marRight w:val="0"/>
      <w:marTop w:val="0"/>
      <w:marBottom w:val="0"/>
      <w:divBdr>
        <w:top w:val="none" w:sz="0" w:space="0" w:color="auto"/>
        <w:left w:val="none" w:sz="0" w:space="0" w:color="auto"/>
        <w:bottom w:val="none" w:sz="0" w:space="0" w:color="auto"/>
        <w:right w:val="none" w:sz="0" w:space="0" w:color="auto"/>
      </w:divBdr>
    </w:div>
    <w:div w:id="684282905">
      <w:bodyDiv w:val="1"/>
      <w:marLeft w:val="0"/>
      <w:marRight w:val="0"/>
      <w:marTop w:val="0"/>
      <w:marBottom w:val="0"/>
      <w:divBdr>
        <w:top w:val="none" w:sz="0" w:space="0" w:color="auto"/>
        <w:left w:val="none" w:sz="0" w:space="0" w:color="auto"/>
        <w:bottom w:val="none" w:sz="0" w:space="0" w:color="auto"/>
        <w:right w:val="none" w:sz="0" w:space="0" w:color="auto"/>
      </w:divBdr>
    </w:div>
    <w:div w:id="694775230">
      <w:bodyDiv w:val="1"/>
      <w:marLeft w:val="0"/>
      <w:marRight w:val="0"/>
      <w:marTop w:val="0"/>
      <w:marBottom w:val="0"/>
      <w:divBdr>
        <w:top w:val="none" w:sz="0" w:space="0" w:color="auto"/>
        <w:left w:val="none" w:sz="0" w:space="0" w:color="auto"/>
        <w:bottom w:val="none" w:sz="0" w:space="0" w:color="auto"/>
        <w:right w:val="none" w:sz="0" w:space="0" w:color="auto"/>
      </w:divBdr>
    </w:div>
    <w:div w:id="759181709">
      <w:bodyDiv w:val="1"/>
      <w:marLeft w:val="0"/>
      <w:marRight w:val="0"/>
      <w:marTop w:val="0"/>
      <w:marBottom w:val="0"/>
      <w:divBdr>
        <w:top w:val="none" w:sz="0" w:space="0" w:color="auto"/>
        <w:left w:val="none" w:sz="0" w:space="0" w:color="auto"/>
        <w:bottom w:val="none" w:sz="0" w:space="0" w:color="auto"/>
        <w:right w:val="none" w:sz="0" w:space="0" w:color="auto"/>
      </w:divBdr>
    </w:div>
    <w:div w:id="778643251">
      <w:bodyDiv w:val="1"/>
      <w:marLeft w:val="0"/>
      <w:marRight w:val="0"/>
      <w:marTop w:val="0"/>
      <w:marBottom w:val="0"/>
      <w:divBdr>
        <w:top w:val="none" w:sz="0" w:space="0" w:color="auto"/>
        <w:left w:val="none" w:sz="0" w:space="0" w:color="auto"/>
        <w:bottom w:val="none" w:sz="0" w:space="0" w:color="auto"/>
        <w:right w:val="none" w:sz="0" w:space="0" w:color="auto"/>
      </w:divBdr>
    </w:div>
    <w:div w:id="824130763">
      <w:bodyDiv w:val="1"/>
      <w:marLeft w:val="0"/>
      <w:marRight w:val="0"/>
      <w:marTop w:val="0"/>
      <w:marBottom w:val="0"/>
      <w:divBdr>
        <w:top w:val="none" w:sz="0" w:space="0" w:color="auto"/>
        <w:left w:val="none" w:sz="0" w:space="0" w:color="auto"/>
        <w:bottom w:val="none" w:sz="0" w:space="0" w:color="auto"/>
        <w:right w:val="none" w:sz="0" w:space="0" w:color="auto"/>
      </w:divBdr>
    </w:div>
    <w:div w:id="845024449">
      <w:bodyDiv w:val="1"/>
      <w:marLeft w:val="0"/>
      <w:marRight w:val="0"/>
      <w:marTop w:val="0"/>
      <w:marBottom w:val="0"/>
      <w:divBdr>
        <w:top w:val="none" w:sz="0" w:space="0" w:color="auto"/>
        <w:left w:val="none" w:sz="0" w:space="0" w:color="auto"/>
        <w:bottom w:val="none" w:sz="0" w:space="0" w:color="auto"/>
        <w:right w:val="none" w:sz="0" w:space="0" w:color="auto"/>
      </w:divBdr>
    </w:div>
    <w:div w:id="909998336">
      <w:bodyDiv w:val="1"/>
      <w:marLeft w:val="0"/>
      <w:marRight w:val="0"/>
      <w:marTop w:val="0"/>
      <w:marBottom w:val="0"/>
      <w:divBdr>
        <w:top w:val="none" w:sz="0" w:space="0" w:color="auto"/>
        <w:left w:val="none" w:sz="0" w:space="0" w:color="auto"/>
        <w:bottom w:val="none" w:sz="0" w:space="0" w:color="auto"/>
        <w:right w:val="none" w:sz="0" w:space="0" w:color="auto"/>
      </w:divBdr>
    </w:div>
    <w:div w:id="920136750">
      <w:bodyDiv w:val="1"/>
      <w:marLeft w:val="0"/>
      <w:marRight w:val="0"/>
      <w:marTop w:val="0"/>
      <w:marBottom w:val="0"/>
      <w:divBdr>
        <w:top w:val="none" w:sz="0" w:space="0" w:color="auto"/>
        <w:left w:val="none" w:sz="0" w:space="0" w:color="auto"/>
        <w:bottom w:val="none" w:sz="0" w:space="0" w:color="auto"/>
        <w:right w:val="none" w:sz="0" w:space="0" w:color="auto"/>
      </w:divBdr>
    </w:div>
    <w:div w:id="931281792">
      <w:bodyDiv w:val="1"/>
      <w:marLeft w:val="0"/>
      <w:marRight w:val="0"/>
      <w:marTop w:val="0"/>
      <w:marBottom w:val="0"/>
      <w:divBdr>
        <w:top w:val="none" w:sz="0" w:space="0" w:color="auto"/>
        <w:left w:val="none" w:sz="0" w:space="0" w:color="auto"/>
        <w:bottom w:val="none" w:sz="0" w:space="0" w:color="auto"/>
        <w:right w:val="none" w:sz="0" w:space="0" w:color="auto"/>
      </w:divBdr>
    </w:div>
    <w:div w:id="944078159">
      <w:bodyDiv w:val="1"/>
      <w:marLeft w:val="0"/>
      <w:marRight w:val="0"/>
      <w:marTop w:val="0"/>
      <w:marBottom w:val="0"/>
      <w:divBdr>
        <w:top w:val="none" w:sz="0" w:space="0" w:color="auto"/>
        <w:left w:val="none" w:sz="0" w:space="0" w:color="auto"/>
        <w:bottom w:val="none" w:sz="0" w:space="0" w:color="auto"/>
        <w:right w:val="none" w:sz="0" w:space="0" w:color="auto"/>
      </w:divBdr>
    </w:div>
    <w:div w:id="1042631931">
      <w:bodyDiv w:val="1"/>
      <w:marLeft w:val="0"/>
      <w:marRight w:val="0"/>
      <w:marTop w:val="0"/>
      <w:marBottom w:val="0"/>
      <w:divBdr>
        <w:top w:val="none" w:sz="0" w:space="0" w:color="auto"/>
        <w:left w:val="none" w:sz="0" w:space="0" w:color="auto"/>
        <w:bottom w:val="none" w:sz="0" w:space="0" w:color="auto"/>
        <w:right w:val="none" w:sz="0" w:space="0" w:color="auto"/>
      </w:divBdr>
    </w:div>
    <w:div w:id="1120495864">
      <w:bodyDiv w:val="1"/>
      <w:marLeft w:val="0"/>
      <w:marRight w:val="0"/>
      <w:marTop w:val="0"/>
      <w:marBottom w:val="0"/>
      <w:divBdr>
        <w:top w:val="none" w:sz="0" w:space="0" w:color="auto"/>
        <w:left w:val="none" w:sz="0" w:space="0" w:color="auto"/>
        <w:bottom w:val="none" w:sz="0" w:space="0" w:color="auto"/>
        <w:right w:val="none" w:sz="0" w:space="0" w:color="auto"/>
      </w:divBdr>
    </w:div>
    <w:div w:id="1198851536">
      <w:bodyDiv w:val="1"/>
      <w:marLeft w:val="0"/>
      <w:marRight w:val="0"/>
      <w:marTop w:val="0"/>
      <w:marBottom w:val="0"/>
      <w:divBdr>
        <w:top w:val="none" w:sz="0" w:space="0" w:color="auto"/>
        <w:left w:val="none" w:sz="0" w:space="0" w:color="auto"/>
        <w:bottom w:val="none" w:sz="0" w:space="0" w:color="auto"/>
        <w:right w:val="none" w:sz="0" w:space="0" w:color="auto"/>
      </w:divBdr>
    </w:div>
    <w:div w:id="1285886443">
      <w:bodyDiv w:val="1"/>
      <w:marLeft w:val="0"/>
      <w:marRight w:val="0"/>
      <w:marTop w:val="0"/>
      <w:marBottom w:val="0"/>
      <w:divBdr>
        <w:top w:val="none" w:sz="0" w:space="0" w:color="auto"/>
        <w:left w:val="none" w:sz="0" w:space="0" w:color="auto"/>
        <w:bottom w:val="none" w:sz="0" w:space="0" w:color="auto"/>
        <w:right w:val="none" w:sz="0" w:space="0" w:color="auto"/>
      </w:divBdr>
    </w:div>
    <w:div w:id="1418746778">
      <w:bodyDiv w:val="1"/>
      <w:marLeft w:val="0"/>
      <w:marRight w:val="0"/>
      <w:marTop w:val="0"/>
      <w:marBottom w:val="0"/>
      <w:divBdr>
        <w:top w:val="none" w:sz="0" w:space="0" w:color="auto"/>
        <w:left w:val="none" w:sz="0" w:space="0" w:color="auto"/>
        <w:bottom w:val="none" w:sz="0" w:space="0" w:color="auto"/>
        <w:right w:val="none" w:sz="0" w:space="0" w:color="auto"/>
      </w:divBdr>
    </w:div>
    <w:div w:id="1927227338">
      <w:bodyDiv w:val="1"/>
      <w:marLeft w:val="0"/>
      <w:marRight w:val="0"/>
      <w:marTop w:val="0"/>
      <w:marBottom w:val="0"/>
      <w:divBdr>
        <w:top w:val="none" w:sz="0" w:space="0" w:color="auto"/>
        <w:left w:val="none" w:sz="0" w:space="0" w:color="auto"/>
        <w:bottom w:val="none" w:sz="0" w:space="0" w:color="auto"/>
        <w:right w:val="none" w:sz="0" w:space="0" w:color="auto"/>
      </w:divBdr>
    </w:div>
    <w:div w:id="2075622882">
      <w:bodyDiv w:val="1"/>
      <w:marLeft w:val="0"/>
      <w:marRight w:val="0"/>
      <w:marTop w:val="0"/>
      <w:marBottom w:val="0"/>
      <w:divBdr>
        <w:top w:val="none" w:sz="0" w:space="0" w:color="auto"/>
        <w:left w:val="none" w:sz="0" w:space="0" w:color="auto"/>
        <w:bottom w:val="none" w:sz="0" w:space="0" w:color="auto"/>
        <w:right w:val="none" w:sz="0" w:space="0" w:color="auto"/>
      </w:divBdr>
    </w:div>
    <w:div w:id="2111929987">
      <w:bodyDiv w:val="1"/>
      <w:marLeft w:val="0"/>
      <w:marRight w:val="0"/>
      <w:marTop w:val="0"/>
      <w:marBottom w:val="0"/>
      <w:divBdr>
        <w:top w:val="none" w:sz="0" w:space="0" w:color="auto"/>
        <w:left w:val="none" w:sz="0" w:space="0" w:color="auto"/>
        <w:bottom w:val="none" w:sz="0" w:space="0" w:color="auto"/>
        <w:right w:val="none" w:sz="0" w:space="0" w:color="auto"/>
      </w:divBdr>
    </w:div>
    <w:div w:id="2112508795">
      <w:bodyDiv w:val="1"/>
      <w:marLeft w:val="0"/>
      <w:marRight w:val="0"/>
      <w:marTop w:val="0"/>
      <w:marBottom w:val="0"/>
      <w:divBdr>
        <w:top w:val="none" w:sz="0" w:space="0" w:color="auto"/>
        <w:left w:val="none" w:sz="0" w:space="0" w:color="auto"/>
        <w:bottom w:val="none" w:sz="0" w:space="0" w:color="auto"/>
        <w:right w:val="none" w:sz="0" w:space="0" w:color="auto"/>
      </w:divBdr>
    </w:div>
    <w:div w:id="211709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76889-E28A-4B06-AF4A-004B42784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1184</Words>
  <Characters>6395</Characters>
  <Application>Microsoft Office Word</Application>
  <DocSecurity>0</DocSecurity>
  <Lines>53</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ΕΚΘΕΣΗ ΔΙΑΧΕΙΡΙΣΗΣ</vt:lpstr>
      <vt:lpstr>ΕΚΘΕΣΗ ΔΙΑΧΕΙΡΙΣΗΣ </vt:lpstr>
    </vt:vector>
  </TitlesOfParts>
  <Company>Hewlett-Packard</Company>
  <LinksUpToDate>false</LinksUpToDate>
  <CharactersWithSpaces>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ΕΚΘΕΣΗ ΔΙΑΧΕΙΡΙΣΗΣ</dc:title>
  <dc:creator>ΔΗΜΗΤΡΗΣ</dc:creator>
  <cp:lastModifiedBy>Vasileios T. Koutsoulentis</cp:lastModifiedBy>
  <cp:revision>6</cp:revision>
  <cp:lastPrinted>2017-06-26T12:12:00Z</cp:lastPrinted>
  <dcterms:created xsi:type="dcterms:W3CDTF">2019-07-24T09:21:00Z</dcterms:created>
  <dcterms:modified xsi:type="dcterms:W3CDTF">2019-09-17T10:18:00Z</dcterms:modified>
</cp:coreProperties>
</file>